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C9" w:rsidRDefault="00680CC9" w:rsidP="00680CC9">
      <w:pPr>
        <w:jc w:val="center"/>
        <w:rPr>
          <w:rFonts w:ascii="Arial" w:hAnsi="Arial" w:cs="Arial"/>
          <w:b/>
          <w:i/>
        </w:rPr>
      </w:pPr>
      <w:r w:rsidRPr="003D3E0E">
        <w:rPr>
          <w:rFonts w:ascii="Arial" w:hAnsi="Arial" w:cs="Arial"/>
          <w:b/>
          <w:i/>
        </w:rPr>
        <w:t xml:space="preserve">Формування ринкових відносин в Україні. – 2020. – № </w:t>
      </w:r>
      <w:r>
        <w:rPr>
          <w:rFonts w:ascii="Arial" w:hAnsi="Arial" w:cs="Arial"/>
          <w:b/>
          <w:i/>
        </w:rPr>
        <w:t>5</w:t>
      </w:r>
      <w:r w:rsidRPr="003D3E0E">
        <w:rPr>
          <w:rFonts w:ascii="Arial" w:hAnsi="Arial" w:cs="Arial"/>
          <w:b/>
          <w:i/>
        </w:rPr>
        <w:t>.</w:t>
      </w:r>
    </w:p>
    <w:p w:rsidR="00680CC9"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proofErr w:type="spellStart"/>
      <w:r w:rsidRPr="00FF62EC">
        <w:rPr>
          <w:rFonts w:ascii="Arial" w:hAnsi="Arial" w:cs="Arial"/>
          <w:b/>
        </w:rPr>
        <w:t>Предборський</w:t>
      </w:r>
      <w:proofErr w:type="spellEnd"/>
      <w:r w:rsidRPr="00FF62EC">
        <w:rPr>
          <w:rFonts w:ascii="Arial" w:hAnsi="Arial" w:cs="Arial"/>
          <w:b/>
        </w:rPr>
        <w:t xml:space="preserve">, В. А. Принцип </w:t>
      </w:r>
      <w:proofErr w:type="spellStart"/>
      <w:r w:rsidRPr="00FF62EC">
        <w:rPr>
          <w:rFonts w:ascii="Arial" w:hAnsi="Arial" w:cs="Arial"/>
          <w:b/>
        </w:rPr>
        <w:t>деконструкції</w:t>
      </w:r>
      <w:proofErr w:type="spellEnd"/>
      <w:r w:rsidRPr="00FF62EC">
        <w:rPr>
          <w:rFonts w:ascii="Arial" w:hAnsi="Arial" w:cs="Arial"/>
          <w:b/>
        </w:rPr>
        <w:t xml:space="preserve"> у вивченні розвитку організованих неформальних тіньових центрів влади в Україні</w:t>
      </w:r>
      <w:r w:rsidRPr="003D3E0E">
        <w:rPr>
          <w:rFonts w:ascii="Arial" w:hAnsi="Arial" w:cs="Arial"/>
        </w:rPr>
        <w:t xml:space="preserve"> / В. А. </w:t>
      </w:r>
      <w:proofErr w:type="spellStart"/>
      <w:r w:rsidRPr="003D3E0E">
        <w:rPr>
          <w:rFonts w:ascii="Arial" w:hAnsi="Arial" w:cs="Arial"/>
        </w:rPr>
        <w:t>Предборський</w:t>
      </w:r>
      <w:proofErr w:type="spellEnd"/>
      <w:r w:rsidRPr="003D3E0E">
        <w:rPr>
          <w:rFonts w:ascii="Arial" w:hAnsi="Arial" w:cs="Arial"/>
        </w:rPr>
        <w:t xml:space="preserve"> // Формування ринкових відносин в Україн</w:t>
      </w:r>
      <w:r>
        <w:rPr>
          <w:rFonts w:ascii="Arial" w:hAnsi="Arial" w:cs="Arial"/>
        </w:rPr>
        <w:t>і. – 2020. – № 5. – С. 7-17.</w:t>
      </w:r>
    </w:p>
    <w:p w:rsidR="00680CC9" w:rsidRDefault="00680CC9" w:rsidP="00680CC9">
      <w:pPr>
        <w:ind w:firstLine="426"/>
        <w:jc w:val="both"/>
        <w:rPr>
          <w:rFonts w:ascii="Arial" w:hAnsi="Arial" w:cs="Arial"/>
        </w:rPr>
      </w:pPr>
      <w:r w:rsidRPr="00FF62EC">
        <w:rPr>
          <w:rFonts w:ascii="Arial" w:hAnsi="Arial" w:cs="Arial"/>
        </w:rPr>
        <w:t xml:space="preserve">У статті обґрунтовано необхідність пошуку причин </w:t>
      </w:r>
      <w:proofErr w:type="spellStart"/>
      <w:r w:rsidRPr="00FF62EC">
        <w:rPr>
          <w:rFonts w:ascii="Arial" w:hAnsi="Arial" w:cs="Arial"/>
        </w:rPr>
        <w:t>тінізаційного</w:t>
      </w:r>
      <w:proofErr w:type="spellEnd"/>
      <w:r w:rsidRPr="00FF62EC">
        <w:rPr>
          <w:rFonts w:ascii="Arial" w:hAnsi="Arial" w:cs="Arial"/>
        </w:rPr>
        <w:t xml:space="preserve"> </w:t>
      </w:r>
      <w:proofErr w:type="spellStart"/>
      <w:r w:rsidRPr="00FF62EC">
        <w:rPr>
          <w:rFonts w:ascii="Arial" w:hAnsi="Arial" w:cs="Arial"/>
        </w:rPr>
        <w:t>двоєвладдя</w:t>
      </w:r>
      <w:proofErr w:type="spellEnd"/>
      <w:r w:rsidRPr="00FF62EC">
        <w:rPr>
          <w:rFonts w:ascii="Arial" w:hAnsi="Arial" w:cs="Arial"/>
        </w:rPr>
        <w:t xml:space="preserve">, виявлення закономірностей розвитку позасистемних владних механізмів в Україні через наявність </w:t>
      </w:r>
      <w:proofErr w:type="spellStart"/>
      <w:r w:rsidRPr="00FF62EC">
        <w:rPr>
          <w:rFonts w:ascii="Arial" w:hAnsi="Arial" w:cs="Arial"/>
        </w:rPr>
        <w:t>тінізаційного</w:t>
      </w:r>
      <w:proofErr w:type="spellEnd"/>
      <w:r w:rsidRPr="00FF62EC">
        <w:rPr>
          <w:rFonts w:ascii="Arial" w:hAnsi="Arial" w:cs="Arial"/>
        </w:rPr>
        <w:t xml:space="preserve"> тренду походження форми влади.</w:t>
      </w:r>
    </w:p>
    <w:p w:rsidR="00680CC9"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proofErr w:type="spellStart"/>
      <w:r w:rsidRPr="00FF62EC">
        <w:rPr>
          <w:rFonts w:ascii="Arial" w:hAnsi="Arial" w:cs="Arial"/>
          <w:b/>
        </w:rPr>
        <w:t>Макогон</w:t>
      </w:r>
      <w:proofErr w:type="spellEnd"/>
      <w:r w:rsidRPr="00FF62EC">
        <w:rPr>
          <w:rFonts w:ascii="Arial" w:hAnsi="Arial" w:cs="Arial"/>
          <w:b/>
        </w:rPr>
        <w:t>, В. Д. Бюджетна політика в умовах інституційних перетворень</w:t>
      </w:r>
      <w:r w:rsidRPr="00FF62EC">
        <w:rPr>
          <w:rFonts w:ascii="Arial" w:hAnsi="Arial" w:cs="Arial"/>
        </w:rPr>
        <w:t xml:space="preserve"> / В. Д. </w:t>
      </w:r>
      <w:proofErr w:type="spellStart"/>
      <w:r w:rsidRPr="00FF62EC">
        <w:rPr>
          <w:rFonts w:ascii="Arial" w:hAnsi="Arial" w:cs="Arial"/>
        </w:rPr>
        <w:t>Макогон</w:t>
      </w:r>
      <w:proofErr w:type="spellEnd"/>
      <w:r w:rsidRPr="00FF62EC">
        <w:rPr>
          <w:rFonts w:ascii="Arial" w:hAnsi="Arial" w:cs="Arial"/>
        </w:rPr>
        <w:t>, І. П. Адаменко // Формування ринкових відносин в Україні. – 2020. – № 5. – С. 18</w:t>
      </w:r>
      <w:r>
        <w:rPr>
          <w:rFonts w:ascii="Arial" w:hAnsi="Arial" w:cs="Arial"/>
        </w:rPr>
        <w:t>-</w:t>
      </w:r>
      <w:r w:rsidRPr="00FF62EC">
        <w:rPr>
          <w:rFonts w:ascii="Arial" w:hAnsi="Arial" w:cs="Arial"/>
        </w:rPr>
        <w:t>25</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У статті розкрито теоретичні основи формування та реалізації бюджетної політики в умовах інституційних перетворень. Обґрунтовано стратегічні пріоритети бюджетної політики країн з трансформаційною економікою</w:t>
      </w:r>
      <w:r>
        <w:rPr>
          <w:rFonts w:ascii="Arial" w:hAnsi="Arial" w:cs="Arial"/>
        </w:rPr>
        <w:t>.</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r w:rsidRPr="00FF62EC">
        <w:rPr>
          <w:rFonts w:ascii="Arial" w:hAnsi="Arial" w:cs="Arial"/>
          <w:b/>
        </w:rPr>
        <w:t>Довбуш, В. І. Значення ІТ-компаній для економіки України та їх специфіка для цілей бухгалтерського обліку</w:t>
      </w:r>
      <w:r w:rsidRPr="00FF62EC">
        <w:rPr>
          <w:rFonts w:ascii="Arial" w:hAnsi="Arial" w:cs="Arial"/>
        </w:rPr>
        <w:t xml:space="preserve"> / В. І. Довбуш, П. В. </w:t>
      </w:r>
      <w:proofErr w:type="spellStart"/>
      <w:r w:rsidRPr="00FF62EC">
        <w:rPr>
          <w:rFonts w:ascii="Arial" w:hAnsi="Arial" w:cs="Arial"/>
        </w:rPr>
        <w:t>Пузирьова</w:t>
      </w:r>
      <w:proofErr w:type="spellEnd"/>
      <w:r w:rsidRPr="00FF62EC">
        <w:rPr>
          <w:rFonts w:ascii="Arial" w:hAnsi="Arial" w:cs="Arial"/>
        </w:rPr>
        <w:t xml:space="preserve"> // Формування ринко</w:t>
      </w:r>
      <w:r>
        <w:rPr>
          <w:rFonts w:ascii="Arial" w:hAnsi="Arial" w:cs="Arial"/>
        </w:rPr>
        <w:t>вих відносин в Україні. – 2020. </w:t>
      </w:r>
      <w:r w:rsidRPr="00FF62EC">
        <w:rPr>
          <w:rFonts w:ascii="Arial" w:hAnsi="Arial" w:cs="Arial"/>
        </w:rPr>
        <w:t>– № 5. – С. 26</w:t>
      </w:r>
      <w:r>
        <w:rPr>
          <w:rFonts w:ascii="Arial" w:hAnsi="Arial" w:cs="Arial"/>
        </w:rPr>
        <w:t>-</w:t>
      </w:r>
      <w:r w:rsidRPr="00FF62EC">
        <w:rPr>
          <w:rFonts w:ascii="Arial" w:hAnsi="Arial" w:cs="Arial"/>
        </w:rPr>
        <w:t>31</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 xml:space="preserve">Стаття присвячена актуальній проблемі ідентифікації стану конкурентоспроможності IT–галузі в Україні. В умовах нових геополітичних зрушень в Україні існує гостра необхідність пошуку нових напрямів підвищення конкурентоздатності як окремих галузей, так і всієї економіки в цілому. Характерною ознакою світової економіки в даний час є безпрецедентне посилення конкуренції. У сучасних умовах економічне зростання тісно пов’язане з такими характеристиками, як конкурентоспроможність, </w:t>
      </w:r>
      <w:proofErr w:type="spellStart"/>
      <w:r w:rsidRPr="00DA66F7">
        <w:rPr>
          <w:rFonts w:ascii="Arial" w:hAnsi="Arial" w:cs="Arial"/>
        </w:rPr>
        <w:t>інноваційність</w:t>
      </w:r>
      <w:proofErr w:type="spellEnd"/>
      <w:r w:rsidRPr="00DA66F7">
        <w:rPr>
          <w:rFonts w:ascii="Arial" w:hAnsi="Arial" w:cs="Arial"/>
        </w:rPr>
        <w:t>, продуктивність. Проаналізовано сучасний стан розвитку IT–галузі України, проблеми якісної підготовки IT–фахівців, аспекти взаємодії вищої IT–освіти та IT–індустрії України. Існуюче положення справ в українській економіці змушує замислитися про продуктивність IT–бізнесу, а також раціональне використання Україною її ресурсів.</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proofErr w:type="spellStart"/>
      <w:r w:rsidRPr="00FF62EC">
        <w:rPr>
          <w:rFonts w:ascii="Arial" w:hAnsi="Arial" w:cs="Arial"/>
          <w:b/>
        </w:rPr>
        <w:t>Sotnichenko</w:t>
      </w:r>
      <w:proofErr w:type="spellEnd"/>
      <w:r w:rsidRPr="00FF62EC">
        <w:rPr>
          <w:rFonts w:ascii="Arial" w:hAnsi="Arial" w:cs="Arial"/>
          <w:b/>
        </w:rPr>
        <w:t xml:space="preserve">, O. A. </w:t>
      </w:r>
      <w:proofErr w:type="spellStart"/>
      <w:r w:rsidRPr="00FF62EC">
        <w:rPr>
          <w:rFonts w:ascii="Arial" w:hAnsi="Arial" w:cs="Arial"/>
          <w:b/>
        </w:rPr>
        <w:t>Fiscal</w:t>
      </w:r>
      <w:proofErr w:type="spellEnd"/>
      <w:r w:rsidRPr="00FF62EC">
        <w:rPr>
          <w:rFonts w:ascii="Arial" w:hAnsi="Arial" w:cs="Arial"/>
          <w:b/>
        </w:rPr>
        <w:t xml:space="preserve"> </w:t>
      </w:r>
      <w:proofErr w:type="spellStart"/>
      <w:r w:rsidRPr="00FF62EC">
        <w:rPr>
          <w:rFonts w:ascii="Arial" w:hAnsi="Arial" w:cs="Arial"/>
          <w:b/>
        </w:rPr>
        <w:t>efficiency</w:t>
      </w:r>
      <w:proofErr w:type="spellEnd"/>
      <w:r w:rsidRPr="00FF62EC">
        <w:rPr>
          <w:rFonts w:ascii="Arial" w:hAnsi="Arial" w:cs="Arial"/>
          <w:b/>
        </w:rPr>
        <w:t xml:space="preserve"> </w:t>
      </w:r>
      <w:proofErr w:type="spellStart"/>
      <w:r w:rsidRPr="00FF62EC">
        <w:rPr>
          <w:rFonts w:ascii="Arial" w:hAnsi="Arial" w:cs="Arial"/>
          <w:b/>
        </w:rPr>
        <w:t>of</w:t>
      </w:r>
      <w:proofErr w:type="spellEnd"/>
      <w:r w:rsidRPr="00FF62EC">
        <w:rPr>
          <w:rFonts w:ascii="Arial" w:hAnsi="Arial" w:cs="Arial"/>
          <w:b/>
        </w:rPr>
        <w:t xml:space="preserve"> </w:t>
      </w:r>
      <w:proofErr w:type="spellStart"/>
      <w:r w:rsidRPr="00FF62EC">
        <w:rPr>
          <w:rFonts w:ascii="Arial" w:hAnsi="Arial" w:cs="Arial"/>
          <w:b/>
        </w:rPr>
        <w:t>indirect</w:t>
      </w:r>
      <w:proofErr w:type="spellEnd"/>
      <w:r w:rsidRPr="00FF62EC">
        <w:rPr>
          <w:rFonts w:ascii="Arial" w:hAnsi="Arial" w:cs="Arial"/>
          <w:b/>
        </w:rPr>
        <w:t xml:space="preserve"> </w:t>
      </w:r>
      <w:proofErr w:type="spellStart"/>
      <w:r w:rsidRPr="00FF62EC">
        <w:rPr>
          <w:rFonts w:ascii="Arial" w:hAnsi="Arial" w:cs="Arial"/>
          <w:b/>
        </w:rPr>
        <w:t>taxes</w:t>
      </w:r>
      <w:proofErr w:type="spellEnd"/>
      <w:r w:rsidRPr="00FF62EC">
        <w:rPr>
          <w:rFonts w:ascii="Arial" w:hAnsi="Arial" w:cs="Arial"/>
          <w:b/>
        </w:rPr>
        <w:t xml:space="preserve"> </w:t>
      </w:r>
      <w:proofErr w:type="spellStart"/>
      <w:r w:rsidRPr="00FF62EC">
        <w:rPr>
          <w:rFonts w:ascii="Arial" w:hAnsi="Arial" w:cs="Arial"/>
          <w:b/>
        </w:rPr>
        <w:t>in</w:t>
      </w:r>
      <w:proofErr w:type="spellEnd"/>
      <w:r w:rsidRPr="00FF62EC">
        <w:rPr>
          <w:rFonts w:ascii="Arial" w:hAnsi="Arial" w:cs="Arial"/>
          <w:b/>
        </w:rPr>
        <w:t xml:space="preserve"> </w:t>
      </w:r>
      <w:proofErr w:type="spellStart"/>
      <w:r w:rsidRPr="00FF62EC">
        <w:rPr>
          <w:rFonts w:ascii="Arial" w:hAnsi="Arial" w:cs="Arial"/>
          <w:b/>
        </w:rPr>
        <w:t>Ukraine</w:t>
      </w:r>
      <w:proofErr w:type="spellEnd"/>
      <w:r>
        <w:rPr>
          <w:rFonts w:ascii="Arial" w:hAnsi="Arial" w:cs="Arial"/>
        </w:rPr>
        <w:t> </w:t>
      </w:r>
      <w:r w:rsidRPr="00FF62EC">
        <w:rPr>
          <w:rFonts w:ascii="Arial" w:hAnsi="Arial" w:cs="Arial"/>
        </w:rPr>
        <w:t xml:space="preserve">/ O. A. </w:t>
      </w:r>
      <w:proofErr w:type="spellStart"/>
      <w:r w:rsidRPr="00FF62EC">
        <w:rPr>
          <w:rFonts w:ascii="Arial" w:hAnsi="Arial" w:cs="Arial"/>
        </w:rPr>
        <w:t>Sotnichenko</w:t>
      </w:r>
      <w:proofErr w:type="spellEnd"/>
      <w:r w:rsidRPr="00FF62EC">
        <w:rPr>
          <w:rFonts w:ascii="Arial" w:hAnsi="Arial" w:cs="Arial"/>
        </w:rPr>
        <w:t xml:space="preserve">, O. A. </w:t>
      </w:r>
      <w:proofErr w:type="spellStart"/>
      <w:r w:rsidRPr="00FF62EC">
        <w:rPr>
          <w:rFonts w:ascii="Arial" w:hAnsi="Arial" w:cs="Arial"/>
        </w:rPr>
        <w:t>Hnatenko</w:t>
      </w:r>
      <w:proofErr w:type="spellEnd"/>
      <w:r w:rsidRPr="00FF62EC">
        <w:rPr>
          <w:rFonts w:ascii="Arial" w:hAnsi="Arial" w:cs="Arial"/>
        </w:rPr>
        <w:t xml:space="preserve"> // Формування ринкових відносин в Україні. – 2020. – № 5. – P. 32–38.</w:t>
      </w:r>
    </w:p>
    <w:p w:rsidR="00680CC9" w:rsidRPr="00DA66F7" w:rsidRDefault="00680CC9" w:rsidP="00680CC9">
      <w:pPr>
        <w:ind w:firstLine="426"/>
        <w:jc w:val="both"/>
        <w:rPr>
          <w:rFonts w:ascii="Arial" w:hAnsi="Arial" w:cs="Arial"/>
        </w:rPr>
      </w:pPr>
      <w:r w:rsidRPr="00DA66F7">
        <w:rPr>
          <w:rFonts w:ascii="Arial" w:hAnsi="Arial" w:cs="Arial"/>
        </w:rPr>
        <w:t>У статті встановлено ролі непрямих податків, їх взаємозв’язок та вплив на формування бюджету України. Проаналізовано податкові надходження до Зведеного бюджету в розрізі непрямих податків, а також досліджено проблемні аспекти непрямого оподаткування на нинішньому етапі розвитку економіки і внесення пропозицій щодо її покращення.</w:t>
      </w:r>
    </w:p>
    <w:p w:rsidR="00680CC9" w:rsidRDefault="00680CC9" w:rsidP="00680CC9">
      <w:pPr>
        <w:ind w:firstLine="426"/>
        <w:jc w:val="both"/>
        <w:rPr>
          <w:rFonts w:ascii="Arial" w:hAnsi="Arial" w:cs="Arial"/>
        </w:rPr>
      </w:pPr>
      <w:r w:rsidRPr="00FF62EC">
        <w:rPr>
          <w:rFonts w:ascii="Arial" w:hAnsi="Arial" w:cs="Arial"/>
          <w:b/>
        </w:rPr>
        <w:t>Барон, І. Г. Детермінанти впливу на економічну безпеку держави в умовах глобалізаційних та геополітичних викликів</w:t>
      </w:r>
      <w:r w:rsidRPr="00FF62EC">
        <w:rPr>
          <w:rFonts w:ascii="Arial" w:hAnsi="Arial" w:cs="Arial"/>
        </w:rPr>
        <w:t xml:space="preserve"> / І. Г. Барон // Формування ринкових відносин в Україн</w:t>
      </w:r>
      <w:r>
        <w:rPr>
          <w:rFonts w:ascii="Arial" w:hAnsi="Arial" w:cs="Arial"/>
        </w:rPr>
        <w:t>і. – 2020. – № 5. </w:t>
      </w:r>
      <w:r w:rsidRPr="00FF62EC">
        <w:rPr>
          <w:rFonts w:ascii="Arial" w:hAnsi="Arial" w:cs="Arial"/>
        </w:rPr>
        <w:t>– С. 39</w:t>
      </w:r>
      <w:r>
        <w:rPr>
          <w:rFonts w:ascii="Arial" w:hAnsi="Arial" w:cs="Arial"/>
        </w:rPr>
        <w:t>-</w:t>
      </w:r>
      <w:r w:rsidRPr="00FF62EC">
        <w:rPr>
          <w:rFonts w:ascii="Arial" w:hAnsi="Arial" w:cs="Arial"/>
        </w:rPr>
        <w:t>47</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Підтверджено двозначність впливу глобалізаційних процесів на політико–правові та економічні системи країн світу. Обґрунтовано визначальний вплив загроз глобалізації на національну безпеку слабких економік. Доведено доцільність розгляду глобалізаційних процесів з точки зору як конструктивного, так й деструктивного впливу на світову та національну економічну безпеку. Визначено та систематизовано джерела екзогенного конструктивного та деструктивного впливу на світову та національну економічну безпеку в умовах глобалізаційних та геополітичних викликів. З огляду на можливість як позитивного, так й негативного впливу на економічну безпеку одних й тих самих подій та процесів, обґрунтовано доцільність використання поняття детермінанти економічної безпеки як причини, яка породжує певне явище та чинить конструктивний або деструктивний вплив на процес забезпечення економічної безпеки держави. Показано, що визначальний вплив на економічну безпеку держави чинять екзогенні детермінанти через їх некерованість та непередбачуваність. Розроблено схему реагування на виникнення екзогенних детермінант впливу на економічну безпеку держави, яка враховує їх двозначний характер (загроза або можливість) та ймовірність виникнення (наявна або потенційна). Обґрунтовано, що ключовим завданням у контексті ефективного забезпечення економічної безпеки держави є своєчасна ідентифікація як самих екзогенних детермінант, так й напрямів їх впливу з метою мінімізації загроз у разі підтвердження деструктивного впливу та використання можливостей, які створює конструктивний вплив екзогенних детермінант</w:t>
      </w:r>
      <w:r>
        <w:rPr>
          <w:rFonts w:ascii="Arial" w:hAnsi="Arial" w:cs="Arial"/>
        </w:rPr>
        <w:t>.</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r w:rsidRPr="00FF62EC">
        <w:rPr>
          <w:rFonts w:ascii="Arial" w:hAnsi="Arial" w:cs="Arial"/>
          <w:b/>
        </w:rPr>
        <w:t>Зоріна, О. А. Інтегрування аналітичних функцій у систему контролінгу корпорацій</w:t>
      </w:r>
      <w:r w:rsidRPr="00FF62EC">
        <w:rPr>
          <w:rFonts w:ascii="Arial" w:hAnsi="Arial" w:cs="Arial"/>
        </w:rPr>
        <w:t xml:space="preserve"> / О. А. Зоріна, О. В. </w:t>
      </w:r>
      <w:proofErr w:type="spellStart"/>
      <w:r w:rsidRPr="00FF62EC">
        <w:rPr>
          <w:rFonts w:ascii="Arial" w:hAnsi="Arial" w:cs="Arial"/>
        </w:rPr>
        <w:t>Петраковська</w:t>
      </w:r>
      <w:proofErr w:type="spellEnd"/>
      <w:r w:rsidRPr="00FF62EC">
        <w:rPr>
          <w:rFonts w:ascii="Arial" w:hAnsi="Arial" w:cs="Arial"/>
        </w:rPr>
        <w:t xml:space="preserve"> // Формування ринкових відносин в Україні. – 2020. – № 5. – С. 48</w:t>
      </w:r>
      <w:r>
        <w:rPr>
          <w:rFonts w:ascii="Arial" w:hAnsi="Arial" w:cs="Arial"/>
        </w:rPr>
        <w:t>-</w:t>
      </w:r>
      <w:r w:rsidRPr="00FF62EC">
        <w:rPr>
          <w:rFonts w:ascii="Arial" w:hAnsi="Arial" w:cs="Arial"/>
        </w:rPr>
        <w:t>54</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Дослідження квінтесенції контролінгу як складової системи управління корпорацією та визначення аналітичного забезпечення системи контролінгу, що передбачає реалізацію ряду груп цільових завдань економічного аналізу</w:t>
      </w:r>
      <w:r>
        <w:rPr>
          <w:rFonts w:ascii="Arial" w:hAnsi="Arial" w:cs="Arial"/>
        </w:rPr>
        <w:t>.</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proofErr w:type="spellStart"/>
      <w:r w:rsidRPr="00FF62EC">
        <w:rPr>
          <w:rFonts w:ascii="Arial" w:hAnsi="Arial" w:cs="Arial"/>
          <w:b/>
        </w:rPr>
        <w:lastRenderedPageBreak/>
        <w:t>Соломянюк</w:t>
      </w:r>
      <w:proofErr w:type="spellEnd"/>
      <w:r w:rsidRPr="00FF62EC">
        <w:rPr>
          <w:rFonts w:ascii="Arial" w:hAnsi="Arial" w:cs="Arial"/>
          <w:b/>
        </w:rPr>
        <w:t xml:space="preserve">, Н. М. Генезис теорії </w:t>
      </w:r>
      <w:proofErr w:type="spellStart"/>
      <w:r w:rsidRPr="00FF62EC">
        <w:rPr>
          <w:rFonts w:ascii="Arial" w:hAnsi="Arial" w:cs="Arial"/>
          <w:b/>
        </w:rPr>
        <w:t>стейкхолдерів</w:t>
      </w:r>
      <w:proofErr w:type="spellEnd"/>
      <w:r w:rsidRPr="00FF62EC">
        <w:rPr>
          <w:rFonts w:ascii="Arial" w:hAnsi="Arial" w:cs="Arial"/>
        </w:rPr>
        <w:t xml:space="preserve"> </w:t>
      </w:r>
      <w:r>
        <w:rPr>
          <w:rFonts w:ascii="Arial" w:hAnsi="Arial" w:cs="Arial"/>
        </w:rPr>
        <w:t>/ Н. М. </w:t>
      </w:r>
      <w:proofErr w:type="spellStart"/>
      <w:r w:rsidRPr="00FF62EC">
        <w:rPr>
          <w:rFonts w:ascii="Arial" w:hAnsi="Arial" w:cs="Arial"/>
        </w:rPr>
        <w:t>Соломянюк</w:t>
      </w:r>
      <w:proofErr w:type="spellEnd"/>
      <w:r w:rsidRPr="00FF62EC">
        <w:rPr>
          <w:rFonts w:ascii="Arial" w:hAnsi="Arial" w:cs="Arial"/>
        </w:rPr>
        <w:t xml:space="preserve">, Ю. Є. Соловйова, Т. В. </w:t>
      </w:r>
      <w:proofErr w:type="spellStart"/>
      <w:r w:rsidRPr="00FF62EC">
        <w:rPr>
          <w:rFonts w:ascii="Arial" w:hAnsi="Arial" w:cs="Arial"/>
        </w:rPr>
        <w:t>Саліонова</w:t>
      </w:r>
      <w:proofErr w:type="spellEnd"/>
      <w:r w:rsidRPr="00FF62EC">
        <w:rPr>
          <w:rFonts w:ascii="Arial" w:hAnsi="Arial" w:cs="Arial"/>
        </w:rPr>
        <w:t xml:space="preserve"> // Формування ринкових відносин в Укра</w:t>
      </w:r>
      <w:r>
        <w:rPr>
          <w:rFonts w:ascii="Arial" w:hAnsi="Arial" w:cs="Arial"/>
        </w:rPr>
        <w:t>їні. – 2020. – № 5. – С. 55-62.</w:t>
      </w:r>
    </w:p>
    <w:p w:rsidR="00680CC9" w:rsidRDefault="00680CC9" w:rsidP="00680CC9">
      <w:pPr>
        <w:ind w:firstLine="426"/>
        <w:jc w:val="both"/>
        <w:rPr>
          <w:rFonts w:ascii="Arial" w:hAnsi="Arial" w:cs="Arial"/>
        </w:rPr>
      </w:pPr>
      <w:r w:rsidRPr="00DA66F7">
        <w:rPr>
          <w:rFonts w:ascii="Arial" w:hAnsi="Arial" w:cs="Arial"/>
        </w:rPr>
        <w:t xml:space="preserve">Сьогодні лідируючі підприємства почали оцінювати взаємодію із </w:t>
      </w:r>
      <w:proofErr w:type="spellStart"/>
      <w:r w:rsidRPr="00DA66F7">
        <w:rPr>
          <w:rFonts w:ascii="Arial" w:hAnsi="Arial" w:cs="Arial"/>
        </w:rPr>
        <w:t>стейкхолдерами</w:t>
      </w:r>
      <w:proofErr w:type="spellEnd"/>
      <w:r w:rsidRPr="00DA66F7">
        <w:rPr>
          <w:rFonts w:ascii="Arial" w:hAnsi="Arial" w:cs="Arial"/>
        </w:rPr>
        <w:t xml:space="preserve"> як інструмент, який може сприяти інноваціям при створенні продукту та організації процесів, посилювати орієнтацію стратегічних рішень на стійкість як всередині, так і ззовні підприємства. Актуальним питанням в умовах </w:t>
      </w:r>
      <w:proofErr w:type="spellStart"/>
      <w:r w:rsidRPr="00DA66F7">
        <w:rPr>
          <w:rFonts w:ascii="Arial" w:hAnsi="Arial" w:cs="Arial"/>
        </w:rPr>
        <w:t>глoбалізації</w:t>
      </w:r>
      <w:proofErr w:type="spellEnd"/>
      <w:r w:rsidRPr="00DA66F7">
        <w:rPr>
          <w:rFonts w:ascii="Arial" w:hAnsi="Arial" w:cs="Arial"/>
        </w:rPr>
        <w:t xml:space="preserve"> постає виокремлення кола зацікавлених сторін, які за різних умов можуть здійснювати підтримку в діяльності підприємства або створювати певні виклики щодо його розвитку. В роботі використана сукупність наукових методів і підходів, в тому числі методи групування та порівняльний аналіз, що дозволило окреслити генезис теорії </w:t>
      </w:r>
      <w:proofErr w:type="spellStart"/>
      <w:r w:rsidRPr="00DA66F7">
        <w:rPr>
          <w:rFonts w:ascii="Arial" w:hAnsi="Arial" w:cs="Arial"/>
        </w:rPr>
        <w:t>стейкхолдерів</w:t>
      </w:r>
      <w:proofErr w:type="spellEnd"/>
      <w:r w:rsidRPr="00DA66F7">
        <w:rPr>
          <w:rFonts w:ascii="Arial" w:hAnsi="Arial" w:cs="Arial"/>
        </w:rPr>
        <w:t xml:space="preserve"> та виокремити їх класифікаційні ознаки. </w:t>
      </w:r>
      <w:proofErr w:type="spellStart"/>
      <w:r w:rsidRPr="00DA66F7">
        <w:rPr>
          <w:rFonts w:ascii="Arial" w:hAnsi="Arial" w:cs="Arial"/>
        </w:rPr>
        <w:t>Залeжнo</w:t>
      </w:r>
      <w:proofErr w:type="spellEnd"/>
      <w:r w:rsidRPr="00DA66F7">
        <w:rPr>
          <w:rFonts w:ascii="Arial" w:hAnsi="Arial" w:cs="Arial"/>
        </w:rPr>
        <w:t xml:space="preserve"> від рівня </w:t>
      </w:r>
      <w:proofErr w:type="spellStart"/>
      <w:r w:rsidRPr="00DA66F7">
        <w:rPr>
          <w:rFonts w:ascii="Arial" w:hAnsi="Arial" w:cs="Arial"/>
        </w:rPr>
        <w:t>інтeрeсу</w:t>
      </w:r>
      <w:proofErr w:type="spellEnd"/>
      <w:r w:rsidRPr="00DA66F7">
        <w:rPr>
          <w:rFonts w:ascii="Arial" w:hAnsi="Arial" w:cs="Arial"/>
        </w:rPr>
        <w:t xml:space="preserve"> і </w:t>
      </w:r>
      <w:proofErr w:type="spellStart"/>
      <w:r w:rsidRPr="00DA66F7">
        <w:rPr>
          <w:rFonts w:ascii="Arial" w:hAnsi="Arial" w:cs="Arial"/>
        </w:rPr>
        <w:t>ступeня</w:t>
      </w:r>
      <w:proofErr w:type="spellEnd"/>
      <w:r w:rsidRPr="00DA66F7">
        <w:rPr>
          <w:rFonts w:ascii="Arial" w:hAnsi="Arial" w:cs="Arial"/>
        </w:rPr>
        <w:t xml:space="preserve"> впливу </w:t>
      </w:r>
      <w:proofErr w:type="spellStart"/>
      <w:r w:rsidRPr="00DA66F7">
        <w:rPr>
          <w:rFonts w:ascii="Arial" w:hAnsi="Arial" w:cs="Arial"/>
        </w:rPr>
        <w:t>стейкхолдерів</w:t>
      </w:r>
      <w:proofErr w:type="spellEnd"/>
      <w:r w:rsidRPr="00DA66F7">
        <w:rPr>
          <w:rFonts w:ascii="Arial" w:hAnsi="Arial" w:cs="Arial"/>
        </w:rPr>
        <w:t xml:space="preserve"> на </w:t>
      </w:r>
      <w:proofErr w:type="spellStart"/>
      <w:r w:rsidRPr="00DA66F7">
        <w:rPr>
          <w:rFonts w:ascii="Arial" w:hAnsi="Arial" w:cs="Arial"/>
        </w:rPr>
        <w:t>рішeння</w:t>
      </w:r>
      <w:proofErr w:type="spellEnd"/>
      <w:r w:rsidRPr="00DA66F7">
        <w:rPr>
          <w:rFonts w:ascii="Arial" w:hAnsi="Arial" w:cs="Arial"/>
        </w:rPr>
        <w:t xml:space="preserve">, </w:t>
      </w:r>
      <w:proofErr w:type="spellStart"/>
      <w:r w:rsidRPr="00DA66F7">
        <w:rPr>
          <w:rFonts w:ascii="Arial" w:hAnsi="Arial" w:cs="Arial"/>
        </w:rPr>
        <w:t>щo</w:t>
      </w:r>
      <w:proofErr w:type="spellEnd"/>
      <w:r w:rsidRPr="00DA66F7">
        <w:rPr>
          <w:rFonts w:ascii="Arial" w:hAnsi="Arial" w:cs="Arial"/>
        </w:rPr>
        <w:t xml:space="preserve"> приймаються, наведено загальні </w:t>
      </w:r>
      <w:proofErr w:type="spellStart"/>
      <w:r w:rsidRPr="00DA66F7">
        <w:rPr>
          <w:rFonts w:ascii="Arial" w:hAnsi="Arial" w:cs="Arial"/>
        </w:rPr>
        <w:t>рeкoмeндації</w:t>
      </w:r>
      <w:proofErr w:type="spellEnd"/>
      <w:r w:rsidRPr="00DA66F7">
        <w:rPr>
          <w:rFonts w:ascii="Arial" w:hAnsi="Arial" w:cs="Arial"/>
        </w:rPr>
        <w:t xml:space="preserve"> </w:t>
      </w:r>
      <w:proofErr w:type="spellStart"/>
      <w:r w:rsidRPr="00DA66F7">
        <w:rPr>
          <w:rFonts w:ascii="Arial" w:hAnsi="Arial" w:cs="Arial"/>
        </w:rPr>
        <w:t>щoдo</w:t>
      </w:r>
      <w:proofErr w:type="spellEnd"/>
      <w:r w:rsidRPr="00DA66F7">
        <w:rPr>
          <w:rFonts w:ascii="Arial" w:hAnsi="Arial" w:cs="Arial"/>
        </w:rPr>
        <w:t xml:space="preserve"> </w:t>
      </w:r>
      <w:proofErr w:type="spellStart"/>
      <w:r w:rsidRPr="00DA66F7">
        <w:rPr>
          <w:rFonts w:ascii="Arial" w:hAnsi="Arial" w:cs="Arial"/>
        </w:rPr>
        <w:t>взаємoдії</w:t>
      </w:r>
      <w:proofErr w:type="spellEnd"/>
      <w:r w:rsidRPr="00DA66F7">
        <w:rPr>
          <w:rFonts w:ascii="Arial" w:hAnsi="Arial" w:cs="Arial"/>
        </w:rPr>
        <w:t xml:space="preserve"> із </w:t>
      </w:r>
      <w:proofErr w:type="spellStart"/>
      <w:r w:rsidRPr="00DA66F7">
        <w:rPr>
          <w:rFonts w:ascii="Arial" w:hAnsi="Arial" w:cs="Arial"/>
        </w:rPr>
        <w:t>зазначeними</w:t>
      </w:r>
      <w:proofErr w:type="spellEnd"/>
      <w:r w:rsidRPr="00DA66F7">
        <w:rPr>
          <w:rFonts w:ascii="Arial" w:hAnsi="Arial" w:cs="Arial"/>
        </w:rPr>
        <w:t xml:space="preserve"> групами. Розглянуто </w:t>
      </w:r>
      <w:proofErr w:type="spellStart"/>
      <w:r w:rsidRPr="00DA66F7">
        <w:rPr>
          <w:rFonts w:ascii="Arial" w:hAnsi="Arial" w:cs="Arial"/>
        </w:rPr>
        <w:t>мeтoдику</w:t>
      </w:r>
      <w:proofErr w:type="spellEnd"/>
      <w:r w:rsidRPr="00DA66F7">
        <w:rPr>
          <w:rFonts w:ascii="Arial" w:hAnsi="Arial" w:cs="Arial"/>
        </w:rPr>
        <w:t xml:space="preserve"> </w:t>
      </w:r>
      <w:proofErr w:type="spellStart"/>
      <w:r w:rsidRPr="00DA66F7">
        <w:rPr>
          <w:rFonts w:ascii="Arial" w:hAnsi="Arial" w:cs="Arial"/>
        </w:rPr>
        <w:t>ідeнтифікації</w:t>
      </w:r>
      <w:proofErr w:type="spellEnd"/>
      <w:r w:rsidRPr="00DA66F7">
        <w:rPr>
          <w:rFonts w:ascii="Arial" w:hAnsi="Arial" w:cs="Arial"/>
        </w:rPr>
        <w:t xml:space="preserve"> </w:t>
      </w:r>
      <w:proofErr w:type="spellStart"/>
      <w:r w:rsidRPr="00DA66F7">
        <w:rPr>
          <w:rFonts w:ascii="Arial" w:hAnsi="Arial" w:cs="Arial"/>
        </w:rPr>
        <w:t>стeйкхoлдeрів</w:t>
      </w:r>
      <w:proofErr w:type="spellEnd"/>
      <w:r w:rsidRPr="00DA66F7">
        <w:rPr>
          <w:rFonts w:ascii="Arial" w:hAnsi="Arial" w:cs="Arial"/>
        </w:rPr>
        <w:t xml:space="preserve"> та </w:t>
      </w:r>
      <w:proofErr w:type="spellStart"/>
      <w:r w:rsidRPr="00DA66F7">
        <w:rPr>
          <w:rFonts w:ascii="Arial" w:hAnsi="Arial" w:cs="Arial"/>
        </w:rPr>
        <w:t>oцінки</w:t>
      </w:r>
      <w:proofErr w:type="spellEnd"/>
      <w:r w:rsidRPr="00DA66F7">
        <w:rPr>
          <w:rFonts w:ascii="Arial" w:hAnsi="Arial" w:cs="Arial"/>
        </w:rPr>
        <w:t xml:space="preserve"> </w:t>
      </w:r>
      <w:proofErr w:type="spellStart"/>
      <w:r w:rsidRPr="00DA66F7">
        <w:rPr>
          <w:rFonts w:ascii="Arial" w:hAnsi="Arial" w:cs="Arial"/>
        </w:rPr>
        <w:t>їхньoгo</w:t>
      </w:r>
      <w:proofErr w:type="spellEnd"/>
      <w:r w:rsidRPr="00DA66F7">
        <w:rPr>
          <w:rFonts w:ascii="Arial" w:hAnsi="Arial" w:cs="Arial"/>
        </w:rPr>
        <w:t xml:space="preserve"> впливу на об’єкт дослідження</w:t>
      </w:r>
      <w:r>
        <w:rPr>
          <w:rFonts w:ascii="Arial" w:hAnsi="Arial" w:cs="Arial"/>
        </w:rPr>
        <w:t>.</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r w:rsidRPr="00FF62EC">
        <w:rPr>
          <w:rFonts w:ascii="Arial" w:hAnsi="Arial" w:cs="Arial"/>
          <w:b/>
        </w:rPr>
        <w:t>Біловодська, О. А. Системне дослідження використання чат-боту в комунікації з клієнтами</w:t>
      </w:r>
      <w:r w:rsidRPr="00FF62EC">
        <w:rPr>
          <w:rFonts w:ascii="Arial" w:hAnsi="Arial" w:cs="Arial"/>
        </w:rPr>
        <w:t xml:space="preserve"> / О. А. Біловодська, К.</w:t>
      </w:r>
      <w:r>
        <w:rPr>
          <w:rFonts w:ascii="Arial" w:hAnsi="Arial" w:cs="Arial"/>
        </w:rPr>
        <w:t> </w:t>
      </w:r>
      <w:r w:rsidRPr="00FF62EC">
        <w:rPr>
          <w:rFonts w:ascii="Arial" w:hAnsi="Arial" w:cs="Arial"/>
        </w:rPr>
        <w:t>О.</w:t>
      </w:r>
      <w:r>
        <w:rPr>
          <w:rFonts w:ascii="Arial" w:hAnsi="Arial" w:cs="Arial"/>
        </w:rPr>
        <w:t> </w:t>
      </w:r>
      <w:proofErr w:type="spellStart"/>
      <w:r w:rsidRPr="00FF62EC">
        <w:rPr>
          <w:rFonts w:ascii="Arial" w:hAnsi="Arial" w:cs="Arial"/>
        </w:rPr>
        <w:t>Лагута</w:t>
      </w:r>
      <w:proofErr w:type="spellEnd"/>
      <w:r>
        <w:rPr>
          <w:rFonts w:ascii="Arial" w:hAnsi="Arial" w:cs="Arial"/>
        </w:rPr>
        <w:t> </w:t>
      </w:r>
      <w:r w:rsidRPr="00FF62EC">
        <w:rPr>
          <w:rFonts w:ascii="Arial" w:hAnsi="Arial" w:cs="Arial"/>
        </w:rPr>
        <w:t xml:space="preserve">// Формування ринкових </w:t>
      </w:r>
      <w:r>
        <w:rPr>
          <w:rFonts w:ascii="Arial" w:hAnsi="Arial" w:cs="Arial"/>
        </w:rPr>
        <w:t>відносин в Україні. – 2020. – № </w:t>
      </w:r>
      <w:r w:rsidRPr="00FF62EC">
        <w:rPr>
          <w:rFonts w:ascii="Arial" w:hAnsi="Arial" w:cs="Arial"/>
        </w:rPr>
        <w:t>5. – С. 62</w:t>
      </w:r>
      <w:r>
        <w:rPr>
          <w:rFonts w:ascii="Arial" w:hAnsi="Arial" w:cs="Arial"/>
        </w:rPr>
        <w:t>-</w:t>
      </w:r>
      <w:r w:rsidRPr="00FF62EC">
        <w:rPr>
          <w:rFonts w:ascii="Arial" w:hAnsi="Arial" w:cs="Arial"/>
        </w:rPr>
        <w:t>68</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 xml:space="preserve">В даній статті визначено місце та роль чат–боту в </w:t>
      </w:r>
      <w:proofErr w:type="spellStart"/>
      <w:r w:rsidRPr="00DA66F7">
        <w:rPr>
          <w:rFonts w:ascii="Arial" w:hAnsi="Arial" w:cs="Arial"/>
        </w:rPr>
        <w:t>digital</w:t>
      </w:r>
      <w:proofErr w:type="spellEnd"/>
      <w:r w:rsidRPr="00DA66F7">
        <w:rPr>
          <w:rFonts w:ascii="Arial" w:hAnsi="Arial" w:cs="Arial"/>
        </w:rPr>
        <w:t xml:space="preserve"> маркетингу серед малого та великого бізнесу. Надано характеристику попиту на чат–боти, якими правилами потрібно керуватися, щоб створити грамотний та ідеально відповідний для компанії працюючий чат–бот</w:t>
      </w:r>
      <w:r>
        <w:rPr>
          <w:rFonts w:ascii="Arial" w:hAnsi="Arial" w:cs="Arial"/>
        </w:rPr>
        <w:t>.</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r w:rsidRPr="00FF62EC">
        <w:rPr>
          <w:rFonts w:ascii="Arial" w:hAnsi="Arial" w:cs="Arial"/>
          <w:b/>
        </w:rPr>
        <w:t xml:space="preserve">Марченко, В. М. Джерела самоорганізації процесів </w:t>
      </w:r>
      <w:proofErr w:type="spellStart"/>
      <w:r w:rsidRPr="00FF62EC">
        <w:rPr>
          <w:rFonts w:ascii="Arial" w:hAnsi="Arial" w:cs="Arial"/>
          <w:b/>
        </w:rPr>
        <w:t>злиттів</w:t>
      </w:r>
      <w:proofErr w:type="spellEnd"/>
      <w:r w:rsidRPr="00FF62EC">
        <w:rPr>
          <w:rFonts w:ascii="Arial" w:hAnsi="Arial" w:cs="Arial"/>
          <w:b/>
        </w:rPr>
        <w:t xml:space="preserve"> та поглинань</w:t>
      </w:r>
      <w:r w:rsidRPr="00FF62EC">
        <w:rPr>
          <w:rFonts w:ascii="Arial" w:hAnsi="Arial" w:cs="Arial"/>
        </w:rPr>
        <w:t xml:space="preserve"> / В. М. Марченко // Формування ринкових відносин в Україні. – 2020. – № 5. – С. 69</w:t>
      </w:r>
      <w:r>
        <w:rPr>
          <w:rFonts w:ascii="Arial" w:hAnsi="Arial" w:cs="Arial"/>
        </w:rPr>
        <w:t>-</w:t>
      </w:r>
      <w:r w:rsidRPr="00FF62EC">
        <w:rPr>
          <w:rFonts w:ascii="Arial" w:hAnsi="Arial" w:cs="Arial"/>
        </w:rPr>
        <w:t>75</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 xml:space="preserve">Ідентифікація джерел та розвиток теоретико–методологічних положень самоорганізації, яка виникає в результаті реалізації процесів </w:t>
      </w:r>
      <w:proofErr w:type="spellStart"/>
      <w:r w:rsidRPr="00DA66F7">
        <w:rPr>
          <w:rFonts w:ascii="Arial" w:hAnsi="Arial" w:cs="Arial"/>
        </w:rPr>
        <w:t>злиттів</w:t>
      </w:r>
      <w:proofErr w:type="spellEnd"/>
      <w:r w:rsidRPr="00DA66F7">
        <w:rPr>
          <w:rFonts w:ascii="Arial" w:hAnsi="Arial" w:cs="Arial"/>
        </w:rPr>
        <w:t xml:space="preserve"> та поглинань корпорацій</w:t>
      </w:r>
      <w:r>
        <w:rPr>
          <w:rFonts w:ascii="Arial" w:hAnsi="Arial" w:cs="Arial"/>
        </w:rPr>
        <w:t>.</w:t>
      </w:r>
    </w:p>
    <w:p w:rsidR="00680CC9"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r w:rsidRPr="00FF62EC">
        <w:rPr>
          <w:rFonts w:ascii="Arial" w:hAnsi="Arial" w:cs="Arial"/>
          <w:b/>
        </w:rPr>
        <w:t>Підвищення ефективності діяльності підприємств індустрії гостинності за рахунок організації міні-виробництв харчової продукції</w:t>
      </w:r>
      <w:r w:rsidRPr="00FF62EC">
        <w:rPr>
          <w:rFonts w:ascii="Arial" w:hAnsi="Arial" w:cs="Arial"/>
        </w:rPr>
        <w:t xml:space="preserve"> / В. А. Піддубний, Г. М</w:t>
      </w:r>
      <w:r>
        <w:rPr>
          <w:rFonts w:ascii="Arial" w:hAnsi="Arial" w:cs="Arial"/>
        </w:rPr>
        <w:t xml:space="preserve">. Тарасюк, А. О. </w:t>
      </w:r>
      <w:proofErr w:type="spellStart"/>
      <w:r>
        <w:rPr>
          <w:rFonts w:ascii="Arial" w:hAnsi="Arial" w:cs="Arial"/>
        </w:rPr>
        <w:t>Чагайда</w:t>
      </w:r>
      <w:proofErr w:type="spellEnd"/>
      <w:r>
        <w:rPr>
          <w:rFonts w:ascii="Arial" w:hAnsi="Arial" w:cs="Arial"/>
        </w:rPr>
        <w:t>, С. В. </w:t>
      </w:r>
      <w:proofErr w:type="spellStart"/>
      <w:r w:rsidRPr="00FF62EC">
        <w:rPr>
          <w:rFonts w:ascii="Arial" w:hAnsi="Arial" w:cs="Arial"/>
        </w:rPr>
        <w:t>Красножон</w:t>
      </w:r>
      <w:proofErr w:type="spellEnd"/>
      <w:r w:rsidRPr="00FF62EC">
        <w:rPr>
          <w:rFonts w:ascii="Arial" w:hAnsi="Arial" w:cs="Arial"/>
        </w:rPr>
        <w:t xml:space="preserve"> // Формування ринко</w:t>
      </w:r>
      <w:r>
        <w:rPr>
          <w:rFonts w:ascii="Arial" w:hAnsi="Arial" w:cs="Arial"/>
        </w:rPr>
        <w:t>вих відносин в Україні. – 2020. </w:t>
      </w:r>
      <w:r w:rsidRPr="00FF62EC">
        <w:rPr>
          <w:rFonts w:ascii="Arial" w:hAnsi="Arial" w:cs="Arial"/>
        </w:rPr>
        <w:t>– № 5. – С. 76</w:t>
      </w:r>
      <w:r>
        <w:rPr>
          <w:rFonts w:ascii="Arial" w:hAnsi="Arial" w:cs="Arial"/>
        </w:rPr>
        <w:t>-</w:t>
      </w:r>
      <w:r w:rsidRPr="00FF62EC">
        <w:rPr>
          <w:rFonts w:ascii="Arial" w:hAnsi="Arial" w:cs="Arial"/>
        </w:rPr>
        <w:t>82</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Аналіз перспектив запровадження окремих міні–виробництв харчової продукції у закладах індустрії гостинності.</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proofErr w:type="spellStart"/>
      <w:r w:rsidRPr="00FF62EC">
        <w:rPr>
          <w:rFonts w:ascii="Arial" w:hAnsi="Arial" w:cs="Arial"/>
          <w:b/>
        </w:rPr>
        <w:t>Євсейцева</w:t>
      </w:r>
      <w:proofErr w:type="spellEnd"/>
      <w:r w:rsidRPr="00FF62EC">
        <w:rPr>
          <w:rFonts w:ascii="Arial" w:hAnsi="Arial" w:cs="Arial"/>
          <w:b/>
        </w:rPr>
        <w:t>, О. С. Розвиток маркетингових комунікацій шляхом стимулювання продажу дитячих товарів</w:t>
      </w:r>
      <w:r w:rsidRPr="00FF62EC">
        <w:rPr>
          <w:rFonts w:ascii="Arial" w:hAnsi="Arial" w:cs="Arial"/>
        </w:rPr>
        <w:t xml:space="preserve"> </w:t>
      </w:r>
      <w:r>
        <w:rPr>
          <w:rFonts w:ascii="Arial" w:hAnsi="Arial" w:cs="Arial"/>
        </w:rPr>
        <w:t>/ О. С. </w:t>
      </w:r>
      <w:proofErr w:type="spellStart"/>
      <w:r w:rsidRPr="00FF62EC">
        <w:rPr>
          <w:rFonts w:ascii="Arial" w:hAnsi="Arial" w:cs="Arial"/>
        </w:rPr>
        <w:t>Євсейцева</w:t>
      </w:r>
      <w:proofErr w:type="spellEnd"/>
      <w:r w:rsidRPr="00FF62EC">
        <w:rPr>
          <w:rFonts w:ascii="Arial" w:hAnsi="Arial" w:cs="Arial"/>
        </w:rPr>
        <w:t xml:space="preserve">, М. Є. </w:t>
      </w:r>
      <w:proofErr w:type="spellStart"/>
      <w:r w:rsidRPr="00FF62EC">
        <w:rPr>
          <w:rFonts w:ascii="Arial" w:hAnsi="Arial" w:cs="Arial"/>
        </w:rPr>
        <w:t>Гейко</w:t>
      </w:r>
      <w:proofErr w:type="spellEnd"/>
      <w:r w:rsidRPr="00FF62EC">
        <w:rPr>
          <w:rFonts w:ascii="Arial" w:hAnsi="Arial" w:cs="Arial"/>
        </w:rPr>
        <w:t xml:space="preserve"> // Формування ринкових відносин в Україні. – 2020. – № 5. – С. 83</w:t>
      </w:r>
      <w:r>
        <w:rPr>
          <w:rFonts w:ascii="Arial" w:hAnsi="Arial" w:cs="Arial"/>
        </w:rPr>
        <w:t>-</w:t>
      </w:r>
      <w:r w:rsidRPr="00FF62EC">
        <w:rPr>
          <w:rFonts w:ascii="Arial" w:hAnsi="Arial" w:cs="Arial"/>
        </w:rPr>
        <w:t>89</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У статті розглянуто теоретичні аспекти ефективного стимулювання продажів в сфері роздрібної торгівлі дитячими товарами: підходи до використання різних методів стимулювання збуту, побудову мотиваційних програм для торгового персоналу. Крім того в статті проведено дослідження характерних особливостей стимулювання продажів на ринку дитячих товарів та виявлено основні характеристики та вагомі чинники привабливості товарів для дітей. Проведено аналіз системи стимулювання продажів, в результаті якого запропоновано заходи активізації збутової діяльності. У статті висвітлено суть стимулювання політики збуту, оскільки вона є невід’ємною складовою для створення умов для ефективного ведення господарської діяльності підприємств. Крім того проведено аналіз основних задач та позитивних складових заходів, які застосовують з метою стимулювання збуту. У даному матеріалі описуються заходи, націлені на допомогу у процесі створення маркетингової діяльності підприємств, а також напрямки стимулювання продажів, залежно від тих, на кого воно спрямоване. На сьогоднішній день, коли головними є інтереси покупців, у сфері реалізації збутової політики підсилюється конкуренція у боротьбі за сфери розподілу, тоді для того, щоб перемогти опонентів у жорсткій конкуренції при реалізації товарної політики, необхідно зважати на існуючі передумови ефективного представлення компаній на ринках збуту. Організація продажів є фінальним етапом виробництва, постачання, посередництва, логістики та безпосередньо продажів, а роль і значення цієї функції є вирішальними для досягнення успіху та здобуття стійкої позиції на ринку. У статті проаналізовано теоретичні засади організації збутової політики, проведено аналіз взаємного впливу діяльності виробників та посередників товарів з метою ефективного просування продукції на ринку, надані пропозиції щодо покращення діяльності у сфері стимулювання продажів. Також досліджено основні елементи побудови результативної діяльності щодо стимулювання збуту з боку запровадження відповідних механізмів та оцінювання результатів впровадження цієї діяльност</w:t>
      </w:r>
      <w:r>
        <w:rPr>
          <w:rFonts w:ascii="Arial" w:hAnsi="Arial" w:cs="Arial"/>
        </w:rPr>
        <w:t>і.</w:t>
      </w:r>
    </w:p>
    <w:p w:rsidR="00680CC9" w:rsidRDefault="00680CC9" w:rsidP="00680CC9">
      <w:pPr>
        <w:ind w:firstLine="426"/>
        <w:jc w:val="both"/>
        <w:rPr>
          <w:rFonts w:ascii="Arial" w:hAnsi="Arial" w:cs="Arial"/>
        </w:rPr>
      </w:pPr>
      <w:r w:rsidRPr="00FF62EC">
        <w:rPr>
          <w:rFonts w:ascii="Arial" w:hAnsi="Arial" w:cs="Arial"/>
          <w:b/>
        </w:rPr>
        <w:t>Структурно-когнітивне моделювання на основі інтелектуалізації процесів адміністрування будівельними підприємствами</w:t>
      </w:r>
      <w:r w:rsidRPr="00FF62EC">
        <w:rPr>
          <w:rFonts w:ascii="Arial" w:hAnsi="Arial" w:cs="Arial"/>
        </w:rPr>
        <w:t xml:space="preserve"> / Х. М. Чуприна, Ю. А. Чуприна, М. В. Бородавко, Д. В. Грабчак // Формування ринкових відносин в Укр</w:t>
      </w:r>
      <w:r>
        <w:rPr>
          <w:rFonts w:ascii="Arial" w:hAnsi="Arial" w:cs="Arial"/>
        </w:rPr>
        <w:t>аїні. – 2020. – № 5. – С. 89-98</w:t>
      </w:r>
      <w:r w:rsidRPr="00FF62EC">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 xml:space="preserve">У статті проаналізовано особливості процесу управління складними системами в різних ситуаціях і висвітлено проблеми питань адаптації внутрішньої діяльності підприємства до умов </w:t>
      </w:r>
      <w:proofErr w:type="spellStart"/>
      <w:r w:rsidRPr="00DA66F7">
        <w:rPr>
          <w:rFonts w:ascii="Arial" w:hAnsi="Arial" w:cs="Arial"/>
        </w:rPr>
        <w:t>цифровізації</w:t>
      </w:r>
      <w:proofErr w:type="spellEnd"/>
      <w:r w:rsidRPr="00DA66F7">
        <w:rPr>
          <w:rFonts w:ascii="Arial" w:hAnsi="Arial" w:cs="Arial"/>
        </w:rPr>
        <w:t xml:space="preserve"> економіки країни.. Показано переваги використання когнітивних технологій в роботі </w:t>
      </w:r>
      <w:r w:rsidRPr="00DA66F7">
        <w:rPr>
          <w:rFonts w:ascii="Arial" w:hAnsi="Arial" w:cs="Arial"/>
        </w:rPr>
        <w:lastRenderedPageBreak/>
        <w:t>менеджерів–аналітиків будівельних організацій та описано результати імпульсного моделювання можливих сценаріїв розвитку будівельного підприємства, проведених на когнітивних картах «системи управління будівельним підприємством на основі інтелектуалізації процесів адміністрування будівельними підприємствами».</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proofErr w:type="spellStart"/>
      <w:r w:rsidRPr="00FF62EC">
        <w:rPr>
          <w:rFonts w:ascii="Arial" w:hAnsi="Arial" w:cs="Arial"/>
          <w:b/>
        </w:rPr>
        <w:t>Климчук</w:t>
      </w:r>
      <w:proofErr w:type="spellEnd"/>
      <w:r w:rsidRPr="00FF62EC">
        <w:rPr>
          <w:rFonts w:ascii="Arial" w:hAnsi="Arial" w:cs="Arial"/>
          <w:b/>
        </w:rPr>
        <w:t xml:space="preserve">, М. М. Методологія управління фінансуванням інноваційних </w:t>
      </w:r>
      <w:proofErr w:type="spellStart"/>
      <w:r w:rsidRPr="00FF62EC">
        <w:rPr>
          <w:rFonts w:ascii="Arial" w:hAnsi="Arial" w:cs="Arial"/>
          <w:b/>
        </w:rPr>
        <w:t>проєктів</w:t>
      </w:r>
      <w:proofErr w:type="spellEnd"/>
      <w:r w:rsidRPr="00FF62EC">
        <w:rPr>
          <w:rFonts w:ascii="Arial" w:hAnsi="Arial" w:cs="Arial"/>
          <w:b/>
        </w:rPr>
        <w:t xml:space="preserve"> підприємств</w:t>
      </w:r>
      <w:r w:rsidRPr="00FF62EC">
        <w:rPr>
          <w:rFonts w:ascii="Arial" w:hAnsi="Arial" w:cs="Arial"/>
        </w:rPr>
        <w:t xml:space="preserve"> / М. М. </w:t>
      </w:r>
      <w:proofErr w:type="spellStart"/>
      <w:r w:rsidRPr="00FF62EC">
        <w:rPr>
          <w:rFonts w:ascii="Arial" w:hAnsi="Arial" w:cs="Arial"/>
        </w:rPr>
        <w:t>Климчук</w:t>
      </w:r>
      <w:proofErr w:type="spellEnd"/>
      <w:r w:rsidRPr="00FF62EC">
        <w:rPr>
          <w:rFonts w:ascii="Arial" w:hAnsi="Arial" w:cs="Arial"/>
        </w:rPr>
        <w:t xml:space="preserve">, А. А. </w:t>
      </w:r>
      <w:proofErr w:type="spellStart"/>
      <w:r w:rsidRPr="00FF62EC">
        <w:rPr>
          <w:rFonts w:ascii="Arial" w:hAnsi="Arial" w:cs="Arial"/>
        </w:rPr>
        <w:t>Клочко</w:t>
      </w:r>
      <w:proofErr w:type="spellEnd"/>
      <w:r w:rsidRPr="00FF62EC">
        <w:rPr>
          <w:rFonts w:ascii="Arial" w:hAnsi="Arial" w:cs="Arial"/>
        </w:rPr>
        <w:t xml:space="preserve">, Т. А. Ільїна // Формування ринкових </w:t>
      </w:r>
      <w:r>
        <w:rPr>
          <w:rFonts w:ascii="Arial" w:hAnsi="Arial" w:cs="Arial"/>
        </w:rPr>
        <w:t>відносин в Україні. – 2020. – № </w:t>
      </w:r>
      <w:r w:rsidRPr="00FF62EC">
        <w:rPr>
          <w:rFonts w:ascii="Arial" w:hAnsi="Arial" w:cs="Arial"/>
        </w:rPr>
        <w:t>5. – С. 98</w:t>
      </w:r>
      <w:r w:rsidRPr="00EE1A21">
        <w:rPr>
          <w:rFonts w:ascii="Arial" w:hAnsi="Arial" w:cs="Arial"/>
        </w:rPr>
        <w:t>-</w:t>
      </w:r>
      <w:r w:rsidRPr="00FF62EC">
        <w:rPr>
          <w:rFonts w:ascii="Arial" w:hAnsi="Arial" w:cs="Arial"/>
        </w:rPr>
        <w:t>104</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 xml:space="preserve">У проведеному дослідженні окреслено основні положення формування методології управління фінансуванням інноваційних </w:t>
      </w:r>
      <w:proofErr w:type="spellStart"/>
      <w:r w:rsidRPr="00DA66F7">
        <w:rPr>
          <w:rFonts w:ascii="Arial" w:hAnsi="Arial" w:cs="Arial"/>
        </w:rPr>
        <w:t>проєктів</w:t>
      </w:r>
      <w:proofErr w:type="spellEnd"/>
      <w:r w:rsidRPr="00DA66F7">
        <w:rPr>
          <w:rFonts w:ascii="Arial" w:hAnsi="Arial" w:cs="Arial"/>
        </w:rPr>
        <w:t xml:space="preserve"> підприємств на засадах інтеграційного підходу, розроблено її змістовно–параметричну характеристику. На основі компаративного аналізу наукових підходів забезпечення фінансовими ресурсами інноваційних </w:t>
      </w:r>
      <w:proofErr w:type="spellStart"/>
      <w:r w:rsidRPr="00DA66F7">
        <w:rPr>
          <w:rFonts w:ascii="Arial" w:hAnsi="Arial" w:cs="Arial"/>
        </w:rPr>
        <w:t>проєктів</w:t>
      </w:r>
      <w:proofErr w:type="spellEnd"/>
      <w:r w:rsidRPr="00DA66F7">
        <w:rPr>
          <w:rFonts w:ascii="Arial" w:hAnsi="Arial" w:cs="Arial"/>
        </w:rPr>
        <w:t xml:space="preserve"> запропоновано науково–методологічний механізм ризик–менеджменту фінансування </w:t>
      </w:r>
      <w:proofErr w:type="spellStart"/>
      <w:r w:rsidRPr="00DA66F7">
        <w:rPr>
          <w:rFonts w:ascii="Arial" w:hAnsi="Arial" w:cs="Arial"/>
        </w:rPr>
        <w:t>проєктів</w:t>
      </w:r>
      <w:proofErr w:type="spellEnd"/>
      <w:r w:rsidRPr="00DA66F7">
        <w:rPr>
          <w:rFonts w:ascii="Arial" w:hAnsi="Arial" w:cs="Arial"/>
        </w:rPr>
        <w:t xml:space="preserve"> енергозбереження, що, на відміну від існуючих передбачає залучення інвестиційних ресурсів за рахунок компенсаторної технології «</w:t>
      </w:r>
      <w:proofErr w:type="spellStart"/>
      <w:r w:rsidRPr="00DA66F7">
        <w:rPr>
          <w:rFonts w:ascii="Arial" w:hAnsi="Arial" w:cs="Arial"/>
        </w:rPr>
        <w:t>Tax</w:t>
      </w:r>
      <w:proofErr w:type="spellEnd"/>
      <w:r w:rsidRPr="00DA66F7">
        <w:rPr>
          <w:rFonts w:ascii="Arial" w:hAnsi="Arial" w:cs="Arial"/>
        </w:rPr>
        <w:t xml:space="preserve"> </w:t>
      </w:r>
      <w:proofErr w:type="spellStart"/>
      <w:r w:rsidRPr="00DA66F7">
        <w:rPr>
          <w:rFonts w:ascii="Arial" w:hAnsi="Arial" w:cs="Arial"/>
        </w:rPr>
        <w:t>Increment</w:t>
      </w:r>
      <w:proofErr w:type="spellEnd"/>
      <w:r w:rsidRPr="00DA66F7">
        <w:rPr>
          <w:rFonts w:ascii="Arial" w:hAnsi="Arial" w:cs="Arial"/>
        </w:rPr>
        <w:t xml:space="preserve"> </w:t>
      </w:r>
      <w:proofErr w:type="spellStart"/>
      <w:r w:rsidRPr="00DA66F7">
        <w:rPr>
          <w:rFonts w:ascii="Arial" w:hAnsi="Arial" w:cs="Arial"/>
        </w:rPr>
        <w:t>Financing</w:t>
      </w:r>
      <w:proofErr w:type="spellEnd"/>
      <w:r w:rsidRPr="00DA66F7">
        <w:rPr>
          <w:rFonts w:ascii="Arial" w:hAnsi="Arial" w:cs="Arial"/>
        </w:rPr>
        <w:t>» або емісії муніципальних облігацій</w:t>
      </w:r>
      <w:r>
        <w:rPr>
          <w:rFonts w:ascii="Arial" w:hAnsi="Arial" w:cs="Arial"/>
        </w:rPr>
        <w:t>.</w:t>
      </w:r>
    </w:p>
    <w:p w:rsidR="00680CC9" w:rsidRPr="00FF62EC" w:rsidRDefault="00680CC9" w:rsidP="00680CC9">
      <w:pPr>
        <w:ind w:firstLine="426"/>
        <w:jc w:val="both"/>
        <w:rPr>
          <w:rFonts w:ascii="Arial" w:hAnsi="Arial" w:cs="Arial"/>
        </w:rPr>
      </w:pPr>
    </w:p>
    <w:p w:rsidR="00680CC9" w:rsidRDefault="00680CC9" w:rsidP="00680CC9">
      <w:pPr>
        <w:ind w:firstLine="426"/>
        <w:jc w:val="both"/>
        <w:rPr>
          <w:rFonts w:ascii="Arial" w:hAnsi="Arial" w:cs="Arial"/>
        </w:rPr>
      </w:pPr>
      <w:proofErr w:type="spellStart"/>
      <w:r w:rsidRPr="00FF62EC">
        <w:rPr>
          <w:rFonts w:ascii="Arial" w:hAnsi="Arial" w:cs="Arial"/>
          <w:b/>
        </w:rPr>
        <w:t>Кожемяченко</w:t>
      </w:r>
      <w:proofErr w:type="spellEnd"/>
      <w:r w:rsidRPr="00FF62EC">
        <w:rPr>
          <w:rFonts w:ascii="Arial" w:hAnsi="Arial" w:cs="Arial"/>
          <w:b/>
        </w:rPr>
        <w:t>, О. О. Проблеми формування системи медичного страхування в Україні</w:t>
      </w:r>
      <w:r>
        <w:rPr>
          <w:rFonts w:ascii="Arial" w:hAnsi="Arial" w:cs="Arial"/>
        </w:rPr>
        <w:t xml:space="preserve"> / О. О. </w:t>
      </w:r>
      <w:proofErr w:type="spellStart"/>
      <w:r>
        <w:rPr>
          <w:rFonts w:ascii="Arial" w:hAnsi="Arial" w:cs="Arial"/>
        </w:rPr>
        <w:t>Кожемяченко</w:t>
      </w:r>
      <w:proofErr w:type="spellEnd"/>
      <w:r>
        <w:rPr>
          <w:rFonts w:ascii="Arial" w:hAnsi="Arial" w:cs="Arial"/>
        </w:rPr>
        <w:t>, Є. В. </w:t>
      </w:r>
      <w:proofErr w:type="spellStart"/>
      <w:r w:rsidRPr="00FF62EC">
        <w:rPr>
          <w:rFonts w:ascii="Arial" w:hAnsi="Arial" w:cs="Arial"/>
        </w:rPr>
        <w:t>Малкіна</w:t>
      </w:r>
      <w:proofErr w:type="spellEnd"/>
      <w:r w:rsidRPr="00FF62EC">
        <w:rPr>
          <w:rFonts w:ascii="Arial" w:hAnsi="Arial" w:cs="Arial"/>
        </w:rPr>
        <w:t xml:space="preserve"> // Формування ринкових відносин в Україні. – 2020. – № 5. – С. 104</w:t>
      </w:r>
      <w:r>
        <w:rPr>
          <w:rFonts w:ascii="Arial" w:hAnsi="Arial" w:cs="Arial"/>
        </w:rPr>
        <w:t>-</w:t>
      </w:r>
      <w:r w:rsidRPr="00FF62EC">
        <w:rPr>
          <w:rFonts w:ascii="Arial" w:hAnsi="Arial" w:cs="Arial"/>
        </w:rPr>
        <w:t>111</w:t>
      </w:r>
      <w:r>
        <w:rPr>
          <w:rFonts w:ascii="Arial" w:hAnsi="Arial" w:cs="Arial"/>
        </w:rPr>
        <w:t>.</w:t>
      </w:r>
    </w:p>
    <w:p w:rsidR="00680CC9" w:rsidRDefault="00680CC9" w:rsidP="00680CC9">
      <w:pPr>
        <w:ind w:firstLine="426"/>
        <w:jc w:val="both"/>
        <w:rPr>
          <w:rFonts w:ascii="Arial" w:hAnsi="Arial" w:cs="Arial"/>
        </w:rPr>
      </w:pPr>
      <w:r w:rsidRPr="00DA66F7">
        <w:rPr>
          <w:rFonts w:ascii="Arial" w:hAnsi="Arial" w:cs="Arial"/>
        </w:rPr>
        <w:t xml:space="preserve">В дослідженні проаналізовано сферу надання послуг медичного страхування. Проведено аналіз відповідності існуючої української практики медичного страхування ознакам системності. Визначено наявний стан і рівень розвитку </w:t>
      </w:r>
      <w:proofErr w:type="spellStart"/>
      <w:r w:rsidRPr="00DA66F7">
        <w:rPr>
          <w:rFonts w:ascii="Arial" w:hAnsi="Arial" w:cs="Arial"/>
        </w:rPr>
        <w:t>зв’язків</w:t>
      </w:r>
      <w:proofErr w:type="spellEnd"/>
      <w:r w:rsidRPr="00DA66F7">
        <w:rPr>
          <w:rFonts w:ascii="Arial" w:hAnsi="Arial" w:cs="Arial"/>
        </w:rPr>
        <w:t xml:space="preserve"> між базовими елементами системи медичного страхування. В дослідженні цими елементами визначено надавачів медичних послуг, отримувачів медичних послуг, страхові компанії, держава. Зроблено оцінку рівня цілісності системи. Найважливішим індикатором розвитку </w:t>
      </w:r>
      <w:proofErr w:type="spellStart"/>
      <w:r w:rsidRPr="00DA66F7">
        <w:rPr>
          <w:rFonts w:ascii="Arial" w:hAnsi="Arial" w:cs="Arial"/>
        </w:rPr>
        <w:t>зв’язків</w:t>
      </w:r>
      <w:proofErr w:type="spellEnd"/>
      <w:r w:rsidRPr="00DA66F7">
        <w:rPr>
          <w:rFonts w:ascii="Arial" w:hAnsi="Arial" w:cs="Arial"/>
        </w:rPr>
        <w:t xml:space="preserve"> між базовими елементами системи медичного страхування визначено наявність і функціонування ринку страхових медичних послуг. Проаналізовано статистичні дані стану медичного страхування в Україні.</w:t>
      </w:r>
    </w:p>
    <w:p w:rsidR="00680CC9" w:rsidRPr="00FF62EC" w:rsidRDefault="00680CC9" w:rsidP="00680CC9">
      <w:pPr>
        <w:ind w:firstLine="426"/>
        <w:jc w:val="both"/>
        <w:rPr>
          <w:rFonts w:ascii="Arial" w:hAnsi="Arial" w:cs="Arial"/>
        </w:rPr>
      </w:pPr>
    </w:p>
    <w:p w:rsidR="00680CC9" w:rsidRPr="00EE1A21" w:rsidRDefault="00680CC9" w:rsidP="00680CC9">
      <w:pPr>
        <w:ind w:firstLine="426"/>
        <w:jc w:val="both"/>
        <w:rPr>
          <w:rFonts w:ascii="Arial" w:hAnsi="Arial" w:cs="Arial"/>
          <w:spacing w:val="-6"/>
        </w:rPr>
      </w:pPr>
      <w:r w:rsidRPr="00EE1A21">
        <w:rPr>
          <w:rFonts w:ascii="Arial" w:hAnsi="Arial" w:cs="Arial"/>
          <w:b/>
          <w:spacing w:val="-6"/>
        </w:rPr>
        <w:t>Ковальчук, І. В. Реалізація концепції сталого розвитку підприємствами пивної галузі</w:t>
      </w:r>
      <w:r w:rsidRPr="00EE1A21">
        <w:rPr>
          <w:rFonts w:ascii="Arial" w:hAnsi="Arial" w:cs="Arial"/>
          <w:spacing w:val="-6"/>
        </w:rPr>
        <w:t xml:space="preserve"> / І. В. Ковальчук, А. С. </w:t>
      </w:r>
      <w:proofErr w:type="spellStart"/>
      <w:r w:rsidRPr="00EE1A21">
        <w:rPr>
          <w:rFonts w:ascii="Arial" w:hAnsi="Arial" w:cs="Arial"/>
          <w:spacing w:val="-6"/>
        </w:rPr>
        <w:t>Черній</w:t>
      </w:r>
      <w:proofErr w:type="spellEnd"/>
      <w:r w:rsidRPr="00EE1A21">
        <w:rPr>
          <w:rFonts w:ascii="Arial" w:hAnsi="Arial" w:cs="Arial"/>
          <w:spacing w:val="-6"/>
        </w:rPr>
        <w:t xml:space="preserve"> // Формування ринкових відносин в Україні. – 2020. – № 5. – С. 111-117.</w:t>
      </w:r>
    </w:p>
    <w:p w:rsidR="00680CC9" w:rsidRDefault="00680CC9" w:rsidP="00680CC9">
      <w:pPr>
        <w:ind w:firstLine="426"/>
        <w:jc w:val="both"/>
        <w:rPr>
          <w:rFonts w:ascii="Arial" w:hAnsi="Arial" w:cs="Arial"/>
        </w:rPr>
      </w:pPr>
      <w:r w:rsidRPr="00DA66F7">
        <w:rPr>
          <w:rFonts w:ascii="Arial" w:hAnsi="Arial" w:cs="Arial"/>
        </w:rPr>
        <w:t>В роботі розглянута концепція сталого розвитку на рівні суб’єктів господарювання, проаналізовані особливості її реалізації на прикладі провідних пивоварних компаній України, зроблені пропозиції щодо доцільності застосування їх досвіду іншими вітчизняними підприємствами.</w:t>
      </w:r>
    </w:p>
    <w:p w:rsidR="00680CC9" w:rsidRPr="00FF62EC" w:rsidRDefault="00680CC9" w:rsidP="00680CC9">
      <w:pPr>
        <w:ind w:firstLine="426"/>
        <w:jc w:val="both"/>
        <w:rPr>
          <w:rFonts w:ascii="Arial" w:hAnsi="Arial" w:cs="Arial"/>
        </w:rPr>
      </w:pPr>
    </w:p>
    <w:p w:rsidR="00680CC9" w:rsidRPr="00EE1A21" w:rsidRDefault="00680CC9" w:rsidP="00680CC9">
      <w:pPr>
        <w:ind w:firstLine="426"/>
        <w:jc w:val="both"/>
        <w:rPr>
          <w:rFonts w:ascii="Arial" w:hAnsi="Arial" w:cs="Arial"/>
          <w:spacing w:val="-6"/>
        </w:rPr>
      </w:pPr>
      <w:r w:rsidRPr="00EE1A21">
        <w:rPr>
          <w:rFonts w:ascii="Arial" w:hAnsi="Arial" w:cs="Arial"/>
          <w:b/>
          <w:spacing w:val="-6"/>
        </w:rPr>
        <w:t>Вергун, А. М. Фінансове забезпечення соціальних гарантій населення в Україні</w:t>
      </w:r>
      <w:r w:rsidRPr="00EE1A21">
        <w:rPr>
          <w:rFonts w:ascii="Arial" w:hAnsi="Arial" w:cs="Arial"/>
          <w:spacing w:val="-6"/>
        </w:rPr>
        <w:t xml:space="preserve"> / А. М. Вергун, В. С. Побережець // </w:t>
      </w:r>
      <w:bookmarkStart w:id="0" w:name="_GoBack"/>
      <w:r w:rsidRPr="00EE1A21">
        <w:rPr>
          <w:rFonts w:ascii="Arial" w:hAnsi="Arial" w:cs="Arial"/>
          <w:spacing w:val="-6"/>
        </w:rPr>
        <w:t xml:space="preserve">Формування ринкових відносин в Україні. – 2020. – № 5. </w:t>
      </w:r>
      <w:bookmarkEnd w:id="0"/>
      <w:r w:rsidRPr="00EE1A21">
        <w:rPr>
          <w:rFonts w:ascii="Arial" w:hAnsi="Arial" w:cs="Arial"/>
          <w:spacing w:val="-6"/>
        </w:rPr>
        <w:t>– С. 118-123.</w:t>
      </w:r>
    </w:p>
    <w:p w:rsidR="00680CC9" w:rsidRPr="00FF62EC" w:rsidRDefault="00680CC9" w:rsidP="00680CC9">
      <w:pPr>
        <w:ind w:firstLine="426"/>
        <w:jc w:val="both"/>
        <w:rPr>
          <w:rFonts w:ascii="Arial" w:hAnsi="Arial" w:cs="Arial"/>
        </w:rPr>
      </w:pPr>
      <w:r w:rsidRPr="00DA66F7">
        <w:rPr>
          <w:rFonts w:ascii="Arial" w:hAnsi="Arial" w:cs="Arial"/>
        </w:rPr>
        <w:t>В статті досліджено теоретичні основи забезпечення соціальних гарантій населення, виявлено основні тенденції і специфічні особливості фінансування соціальних гарантій життя населення в Україні. Так, зокрема, розглянуто основні суб’єкти формування фондів грошових коштів для забезпечення соціальних гарантій. Встановлено, що формування фінансової бази соціальних гарантій досягається за посередництва багатьох ланок фінансової системи: зведеного бюджету держави, соціальних позабюджетних фондів і фондів недержавного особистого та майнового страхування, суб’єктів господарювання і домогосподарств.</w:t>
      </w:r>
    </w:p>
    <w:p w:rsidR="00680CC9" w:rsidRPr="00071B30" w:rsidRDefault="00680CC9" w:rsidP="00680CC9">
      <w:pPr>
        <w:pStyle w:val="1"/>
        <w:ind w:firstLine="284"/>
        <w:jc w:val="both"/>
        <w:rPr>
          <w:b w:val="0"/>
        </w:rPr>
      </w:pPr>
      <w:r w:rsidRPr="00071B30">
        <w:rPr>
          <w:b w:val="0"/>
          <w:caps w:val="0"/>
        </w:rPr>
        <w:t>.</w:t>
      </w:r>
    </w:p>
    <w:p w:rsidR="00680CC9" w:rsidRDefault="00680CC9" w:rsidP="00680CC9">
      <w:pPr>
        <w:pStyle w:val="1"/>
        <w:ind w:firstLine="284"/>
      </w:pPr>
    </w:p>
    <w:p w:rsidR="00680CC9" w:rsidRDefault="00680CC9" w:rsidP="00680CC9">
      <w:pPr>
        <w:pStyle w:val="1"/>
        <w:ind w:firstLine="284"/>
      </w:pPr>
    </w:p>
    <w:p w:rsidR="00680CC9" w:rsidRDefault="00680CC9" w:rsidP="00680CC9">
      <w:pPr>
        <w:pStyle w:val="1"/>
        <w:ind w:firstLine="284"/>
      </w:pPr>
    </w:p>
    <w:p w:rsidR="00680CC9" w:rsidRDefault="00680CC9" w:rsidP="00680CC9">
      <w:pPr>
        <w:pStyle w:val="1"/>
        <w:ind w:firstLine="284"/>
      </w:pPr>
    </w:p>
    <w:p w:rsidR="00680CC9" w:rsidRDefault="00680CC9" w:rsidP="00680CC9">
      <w:pPr>
        <w:pStyle w:val="1"/>
        <w:ind w:firstLine="284"/>
      </w:pPr>
    </w:p>
    <w:p w:rsidR="00680CC9" w:rsidRDefault="00680CC9" w:rsidP="00680CC9">
      <w:pPr>
        <w:pStyle w:val="1"/>
        <w:ind w:firstLine="284"/>
      </w:pPr>
    </w:p>
    <w:p w:rsidR="00680CC9" w:rsidRDefault="00680CC9" w:rsidP="00680CC9">
      <w:pPr>
        <w:pStyle w:val="1"/>
        <w:ind w:firstLine="284"/>
      </w:pPr>
    </w:p>
    <w:p w:rsidR="00680CC9" w:rsidRDefault="00680CC9" w:rsidP="00680CC9">
      <w:pPr>
        <w:pStyle w:val="1"/>
        <w:ind w:firstLine="284"/>
      </w:pP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9D"/>
    <w:rsid w:val="00073A9D"/>
    <w:rsid w:val="00680CC9"/>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92DB4-8E50-4C4A-B3AE-E69746B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CC9"/>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680CC9"/>
    <w:pPr>
      <w:jc w:val="center"/>
    </w:pPr>
    <w:rPr>
      <w:rFonts w:ascii="Arial" w:hAnsi="Arial" w:cs="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1922</Words>
  <Characters>10956</Characters>
  <Application>Microsoft Office Word</Application>
  <DocSecurity>0</DocSecurity>
  <Lines>91</Lines>
  <Paragraphs>25</Paragraphs>
  <ScaleCrop>false</ScaleCrop>
  <Company>SPecialiST RePack</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2020-11-17T20:03:00Z</dcterms:created>
  <dcterms:modified xsi:type="dcterms:W3CDTF">2020-11-17T20:05:00Z</dcterms:modified>
</cp:coreProperties>
</file>