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36" w:rsidRPr="006229AB" w:rsidRDefault="00CF1236" w:rsidP="00CF1236">
      <w:pPr>
        <w:ind w:firstLine="284"/>
        <w:jc w:val="center"/>
        <w:rPr>
          <w:rFonts w:ascii="Arial" w:hAnsi="Arial" w:cs="Arial"/>
          <w:b/>
          <w:bCs/>
          <w:i/>
        </w:rPr>
      </w:pPr>
    </w:p>
    <w:p w:rsidR="00CF1236" w:rsidRPr="006229AB" w:rsidRDefault="00CF1236" w:rsidP="00CF1236">
      <w:pPr>
        <w:ind w:firstLine="284"/>
        <w:jc w:val="center"/>
        <w:rPr>
          <w:rFonts w:ascii="Arial" w:hAnsi="Arial" w:cs="Arial"/>
          <w:b/>
          <w:bCs/>
          <w:i/>
          <w:lang w:val="ru-RU"/>
        </w:rPr>
      </w:pPr>
      <w:bookmarkStart w:id="0" w:name="_GoBack"/>
      <w:proofErr w:type="spellStart"/>
      <w:r w:rsidRPr="006229AB">
        <w:rPr>
          <w:rFonts w:ascii="Arial" w:hAnsi="Arial" w:cs="Arial"/>
          <w:b/>
          <w:bCs/>
          <w:i/>
          <w:lang w:val="ru-RU"/>
        </w:rPr>
        <w:t>Економіка</w:t>
      </w:r>
      <w:proofErr w:type="spellEnd"/>
      <w:r w:rsidRPr="006229AB">
        <w:rPr>
          <w:rFonts w:ascii="Arial" w:hAnsi="Arial" w:cs="Arial"/>
          <w:b/>
          <w:bCs/>
          <w:i/>
          <w:lang w:val="ru-RU"/>
        </w:rPr>
        <w:t xml:space="preserve">. </w:t>
      </w:r>
      <w:proofErr w:type="spellStart"/>
      <w:r w:rsidRPr="006229AB">
        <w:rPr>
          <w:rFonts w:ascii="Arial" w:hAnsi="Arial" w:cs="Arial"/>
          <w:b/>
          <w:bCs/>
          <w:i/>
          <w:lang w:val="ru-RU"/>
        </w:rPr>
        <w:t>Фінанси</w:t>
      </w:r>
      <w:proofErr w:type="spellEnd"/>
      <w:r w:rsidRPr="006229AB">
        <w:rPr>
          <w:rFonts w:ascii="Arial" w:hAnsi="Arial" w:cs="Arial"/>
          <w:b/>
          <w:bCs/>
          <w:i/>
          <w:lang w:val="ru-RU"/>
        </w:rPr>
        <w:t>. Право. – 2020. – № 9.</w:t>
      </w:r>
    </w:p>
    <w:bookmarkEnd w:id="0"/>
    <w:p w:rsidR="00CF1236" w:rsidRDefault="00CF1236" w:rsidP="00CF1236">
      <w:pPr>
        <w:ind w:firstLine="284"/>
        <w:jc w:val="center"/>
        <w:rPr>
          <w:rFonts w:ascii="Arial" w:hAnsi="Arial" w:cs="Arial"/>
          <w:bCs/>
          <w:lang w:val="ru-RU"/>
        </w:rPr>
      </w:pPr>
    </w:p>
    <w:p w:rsidR="00CF1236" w:rsidRDefault="00CF1236" w:rsidP="00CF1236">
      <w:pPr>
        <w:ind w:firstLine="284"/>
        <w:jc w:val="both"/>
        <w:rPr>
          <w:rFonts w:ascii="Arial" w:hAnsi="Arial" w:cs="Arial"/>
          <w:bCs/>
        </w:rPr>
      </w:pPr>
      <w:proofErr w:type="spellStart"/>
      <w:r w:rsidRPr="007C2682">
        <w:rPr>
          <w:rFonts w:ascii="Arial" w:hAnsi="Arial" w:cs="Arial"/>
          <w:b/>
          <w:bCs/>
        </w:rPr>
        <w:t>Пошивалова</w:t>
      </w:r>
      <w:proofErr w:type="spellEnd"/>
      <w:r w:rsidRPr="007C2682">
        <w:rPr>
          <w:rFonts w:ascii="Arial" w:hAnsi="Arial" w:cs="Arial"/>
          <w:b/>
          <w:bCs/>
        </w:rPr>
        <w:t>,</w:t>
      </w:r>
      <w:r w:rsidRPr="007C2682">
        <w:rPr>
          <w:b/>
        </w:rPr>
        <w:t xml:space="preserve"> </w:t>
      </w:r>
      <w:r w:rsidRPr="007C2682">
        <w:rPr>
          <w:rFonts w:ascii="Arial" w:hAnsi="Arial" w:cs="Arial"/>
          <w:b/>
          <w:bCs/>
        </w:rPr>
        <w:t>О. В. Формування моделі оцінювання мотивації персоналу підприємства</w:t>
      </w:r>
      <w:r w:rsidRPr="007C2682">
        <w:rPr>
          <w:rFonts w:ascii="Arial" w:hAnsi="Arial" w:cs="Arial"/>
          <w:bCs/>
        </w:rPr>
        <w:t xml:space="preserve"> / О. В. </w:t>
      </w:r>
      <w:proofErr w:type="spellStart"/>
      <w:r w:rsidRPr="007C2682">
        <w:rPr>
          <w:rFonts w:ascii="Arial" w:hAnsi="Arial" w:cs="Arial"/>
          <w:bCs/>
        </w:rPr>
        <w:t>Пошивалова</w:t>
      </w:r>
      <w:proofErr w:type="spellEnd"/>
      <w:r w:rsidRPr="007C2682">
        <w:rPr>
          <w:rFonts w:ascii="Arial" w:hAnsi="Arial" w:cs="Arial"/>
          <w:bCs/>
        </w:rPr>
        <w:t xml:space="preserve"> // Економіка. Фінанси. Право. – 2020. – № </w:t>
      </w:r>
      <w:r>
        <w:rPr>
          <w:rFonts w:ascii="Arial" w:hAnsi="Arial" w:cs="Arial"/>
          <w:bCs/>
        </w:rPr>
        <w:t>9</w:t>
      </w:r>
      <w:r w:rsidRPr="007C2682">
        <w:rPr>
          <w:rFonts w:ascii="Arial" w:hAnsi="Arial" w:cs="Arial"/>
          <w:bCs/>
        </w:rPr>
        <w:t xml:space="preserve">. – С. 5 </w:t>
      </w:r>
      <w:r>
        <w:rPr>
          <w:rFonts w:ascii="Arial" w:hAnsi="Arial" w:cs="Arial"/>
          <w:bCs/>
        </w:rPr>
        <w:t>-9.</w:t>
      </w:r>
    </w:p>
    <w:p w:rsidR="00CF1236" w:rsidRPr="008816B7" w:rsidRDefault="00CF1236" w:rsidP="00CF1236">
      <w:pPr>
        <w:ind w:firstLine="284"/>
        <w:jc w:val="both"/>
        <w:rPr>
          <w:rFonts w:ascii="Arial" w:hAnsi="Arial" w:cs="Arial"/>
          <w:bCs/>
          <w:lang w:val="ru-RU"/>
        </w:rPr>
      </w:pPr>
      <w:r w:rsidRPr="007C2682">
        <w:rPr>
          <w:rFonts w:ascii="Arial" w:hAnsi="Arial" w:cs="Arial"/>
          <w:bCs/>
        </w:rPr>
        <w:t xml:space="preserve">У статті розглянуто особливості формування моделі оцінювання мотивації персоналу підприємства на основі розрахунку інтегрального показника. Оцінка результатів визначення важливості складових стимулювання персоналу проводиться за допомогою експертного оцінювання. Здійснена інтерпретація значень інтегрального показника за шкалою бажаності </w:t>
      </w:r>
      <w:proofErr w:type="spellStart"/>
      <w:r w:rsidRPr="007C2682">
        <w:rPr>
          <w:rFonts w:ascii="Arial" w:hAnsi="Arial" w:cs="Arial"/>
          <w:bCs/>
        </w:rPr>
        <w:t>Харрінгтона</w:t>
      </w:r>
      <w:proofErr w:type="spellEnd"/>
      <w:r w:rsidRPr="007C2682">
        <w:rPr>
          <w:rFonts w:ascii="Arial" w:hAnsi="Arial" w:cs="Arial"/>
          <w:bCs/>
        </w:rPr>
        <w:t xml:space="preserve"> для умов дослідження. Побудована модель дозволяє проаналізувати зв’язки рівня мотивації персоналу та основних показників ефективності діяльності підприємства. Розглянуто особливості застосування міжнародного досвіду стимулювання персоналу</w:t>
      </w:r>
      <w:r>
        <w:rPr>
          <w:rFonts w:ascii="Arial" w:hAnsi="Arial" w:cs="Arial"/>
          <w:bCs/>
          <w:lang w:val="ru-RU"/>
        </w:rPr>
        <w:t>.</w:t>
      </w:r>
    </w:p>
    <w:p w:rsidR="00CF1236" w:rsidRDefault="00CF1236" w:rsidP="00CF1236">
      <w:pPr>
        <w:ind w:firstLine="284"/>
        <w:jc w:val="both"/>
        <w:rPr>
          <w:rFonts w:ascii="Arial" w:hAnsi="Arial" w:cs="Arial"/>
          <w:b/>
          <w:bCs/>
        </w:rPr>
      </w:pPr>
    </w:p>
    <w:p w:rsidR="00CF1236" w:rsidRPr="00CF2A28" w:rsidRDefault="00CF1236" w:rsidP="00CF1236">
      <w:pPr>
        <w:ind w:firstLine="284"/>
        <w:jc w:val="both"/>
        <w:rPr>
          <w:rFonts w:ascii="Arial" w:hAnsi="Arial" w:cs="Arial"/>
          <w:bCs/>
          <w:spacing w:val="-6"/>
        </w:rPr>
      </w:pPr>
      <w:r w:rsidRPr="00CF2A28">
        <w:rPr>
          <w:rFonts w:ascii="Arial" w:hAnsi="Arial" w:cs="Arial"/>
          <w:b/>
          <w:bCs/>
          <w:spacing w:val="-6"/>
        </w:rPr>
        <w:t>Войтович,</w:t>
      </w:r>
      <w:r w:rsidRPr="00CF2A28">
        <w:rPr>
          <w:b/>
          <w:spacing w:val="-6"/>
        </w:rPr>
        <w:t xml:space="preserve"> </w:t>
      </w:r>
      <w:r w:rsidRPr="00CF2A28">
        <w:rPr>
          <w:rFonts w:ascii="Arial" w:hAnsi="Arial" w:cs="Arial"/>
          <w:b/>
          <w:bCs/>
          <w:spacing w:val="-6"/>
        </w:rPr>
        <w:t>Л. М. Функціональний аналіз страхової системи</w:t>
      </w:r>
      <w:r w:rsidRPr="00CF2A28">
        <w:rPr>
          <w:rFonts w:ascii="Arial" w:hAnsi="Arial" w:cs="Arial"/>
          <w:bCs/>
          <w:spacing w:val="-6"/>
        </w:rPr>
        <w:t xml:space="preserve"> / Л.</w:t>
      </w:r>
      <w:r>
        <w:rPr>
          <w:rFonts w:ascii="Arial" w:hAnsi="Arial" w:cs="Arial"/>
          <w:bCs/>
          <w:spacing w:val="-6"/>
          <w:lang w:val="ru-RU"/>
        </w:rPr>
        <w:t> </w:t>
      </w:r>
      <w:r>
        <w:rPr>
          <w:rFonts w:ascii="Arial" w:hAnsi="Arial" w:cs="Arial"/>
          <w:bCs/>
          <w:spacing w:val="-6"/>
        </w:rPr>
        <w:t>М.</w:t>
      </w:r>
      <w:r>
        <w:rPr>
          <w:rFonts w:ascii="Arial" w:hAnsi="Arial" w:cs="Arial"/>
          <w:bCs/>
          <w:spacing w:val="-6"/>
          <w:lang w:val="ru-RU"/>
        </w:rPr>
        <w:t> </w:t>
      </w:r>
      <w:r w:rsidRPr="00CF2A28">
        <w:rPr>
          <w:rFonts w:ascii="Arial" w:hAnsi="Arial" w:cs="Arial"/>
          <w:bCs/>
          <w:spacing w:val="-6"/>
        </w:rPr>
        <w:t>Войтович // Економіка. Фінанси. Право. – 2020. – № 9. – С. 10-14.</w:t>
      </w:r>
    </w:p>
    <w:p w:rsidR="00CF1236" w:rsidRPr="007C2682" w:rsidRDefault="00CF1236" w:rsidP="00CF1236">
      <w:pPr>
        <w:ind w:firstLine="284"/>
        <w:jc w:val="both"/>
        <w:rPr>
          <w:rFonts w:ascii="Arial" w:hAnsi="Arial" w:cs="Arial"/>
          <w:bCs/>
        </w:rPr>
      </w:pPr>
      <w:r w:rsidRPr="007C2682">
        <w:rPr>
          <w:rFonts w:ascii="Arial" w:hAnsi="Arial" w:cs="Arial"/>
          <w:bCs/>
        </w:rPr>
        <w:t>Автором запропоновано та проаналізовано функції, які виконує страхова система. Розмежовано поняття страхової системи та системи страхування з метою вироблення єдиного підходу до розуміння страхової системи. Подано коротке і повне визначення дефініції "страхова система". Виокремлено низку особливостей побудови страхової системи, що є характерними ознаками для будь-якого роду систем. Наведено авторський підхід до визначення ознак, які формують економічний зміст страхової системи і зумовлюють її функціональну роль та місце у ринковій економіці.</w:t>
      </w:r>
    </w:p>
    <w:p w:rsidR="00CF1236" w:rsidRDefault="00CF1236" w:rsidP="00CF1236">
      <w:pPr>
        <w:ind w:firstLine="284"/>
        <w:jc w:val="both"/>
        <w:rPr>
          <w:rFonts w:ascii="Arial" w:hAnsi="Arial" w:cs="Arial"/>
          <w:b/>
          <w:bCs/>
        </w:rPr>
      </w:pPr>
    </w:p>
    <w:p w:rsidR="00CF1236" w:rsidRDefault="00CF1236" w:rsidP="00CF1236">
      <w:pPr>
        <w:ind w:firstLine="284"/>
        <w:jc w:val="both"/>
        <w:rPr>
          <w:rFonts w:ascii="Arial" w:hAnsi="Arial" w:cs="Arial"/>
          <w:bCs/>
        </w:rPr>
      </w:pPr>
      <w:proofErr w:type="spellStart"/>
      <w:r w:rsidRPr="007C2682">
        <w:rPr>
          <w:rFonts w:ascii="Arial" w:hAnsi="Arial" w:cs="Arial"/>
          <w:b/>
          <w:bCs/>
        </w:rPr>
        <w:t>Перит</w:t>
      </w:r>
      <w:proofErr w:type="spellEnd"/>
      <w:r w:rsidRPr="007C2682">
        <w:rPr>
          <w:rFonts w:ascii="Arial" w:hAnsi="Arial" w:cs="Arial"/>
          <w:b/>
          <w:bCs/>
        </w:rPr>
        <w:t>, І. О. Аналіз структури та динаміки доходів домогосподарств від підприємницької діяльності</w:t>
      </w:r>
      <w:r w:rsidRPr="007C2682">
        <w:rPr>
          <w:rFonts w:ascii="Arial" w:hAnsi="Arial" w:cs="Arial"/>
          <w:bCs/>
        </w:rPr>
        <w:t xml:space="preserve"> / І.</w:t>
      </w:r>
      <w:r>
        <w:rPr>
          <w:rFonts w:ascii="Arial" w:hAnsi="Arial" w:cs="Arial"/>
          <w:bCs/>
        </w:rPr>
        <w:t xml:space="preserve"> </w:t>
      </w:r>
      <w:r w:rsidRPr="007C2682">
        <w:rPr>
          <w:rFonts w:ascii="Arial" w:hAnsi="Arial" w:cs="Arial"/>
          <w:bCs/>
        </w:rPr>
        <w:t xml:space="preserve">О. </w:t>
      </w:r>
      <w:proofErr w:type="spellStart"/>
      <w:r w:rsidRPr="007C2682">
        <w:rPr>
          <w:rFonts w:ascii="Arial" w:hAnsi="Arial" w:cs="Arial"/>
          <w:bCs/>
        </w:rPr>
        <w:t>Перит</w:t>
      </w:r>
      <w:proofErr w:type="spellEnd"/>
      <w:r w:rsidRPr="007C2682">
        <w:rPr>
          <w:rFonts w:ascii="Arial" w:hAnsi="Arial" w:cs="Arial"/>
          <w:bCs/>
        </w:rPr>
        <w:t>, В.</w:t>
      </w:r>
      <w:r>
        <w:rPr>
          <w:rFonts w:ascii="Arial" w:hAnsi="Arial" w:cs="Arial"/>
          <w:bCs/>
        </w:rPr>
        <w:t xml:space="preserve"> </w:t>
      </w:r>
      <w:r w:rsidRPr="007C2682">
        <w:rPr>
          <w:rFonts w:ascii="Arial" w:hAnsi="Arial" w:cs="Arial"/>
          <w:bCs/>
        </w:rPr>
        <w:t xml:space="preserve">Я. </w:t>
      </w:r>
      <w:proofErr w:type="spellStart"/>
      <w:r w:rsidRPr="007C2682">
        <w:rPr>
          <w:rFonts w:ascii="Arial" w:hAnsi="Arial" w:cs="Arial"/>
          <w:bCs/>
        </w:rPr>
        <w:t>Брич</w:t>
      </w:r>
      <w:proofErr w:type="spellEnd"/>
      <w:r w:rsidRPr="007C2682">
        <w:rPr>
          <w:rFonts w:ascii="Arial" w:hAnsi="Arial" w:cs="Arial"/>
          <w:bCs/>
        </w:rPr>
        <w:t xml:space="preserve"> // Економіка. Фінанси. Право. – 2020. – № 9. – С. 15</w:t>
      </w:r>
      <w:r>
        <w:rPr>
          <w:rFonts w:ascii="Arial" w:hAnsi="Arial" w:cs="Arial"/>
          <w:bCs/>
        </w:rPr>
        <w:t>-24.</w:t>
      </w:r>
    </w:p>
    <w:p w:rsidR="00CF1236" w:rsidRDefault="00CF1236" w:rsidP="00CF1236">
      <w:pPr>
        <w:ind w:firstLine="284"/>
        <w:jc w:val="both"/>
        <w:rPr>
          <w:rFonts w:ascii="Arial" w:hAnsi="Arial" w:cs="Arial"/>
          <w:bCs/>
        </w:rPr>
      </w:pPr>
      <w:r w:rsidRPr="007C2682">
        <w:rPr>
          <w:rFonts w:ascii="Arial" w:hAnsi="Arial" w:cs="Arial"/>
          <w:bCs/>
        </w:rPr>
        <w:t xml:space="preserve">У статті досліджено склад та динаміку доходів домогосподарств від підприємницької діяльності у структурі грошових доходів та сукупних ресурсів, у </w:t>
      </w:r>
      <w:proofErr w:type="spellStart"/>
      <w:r w:rsidRPr="007C2682">
        <w:rPr>
          <w:rFonts w:ascii="Arial" w:hAnsi="Arial" w:cs="Arial"/>
          <w:bCs/>
        </w:rPr>
        <w:t>т.ч</w:t>
      </w:r>
      <w:proofErr w:type="spellEnd"/>
      <w:r w:rsidRPr="007C2682">
        <w:rPr>
          <w:rFonts w:ascii="Arial" w:hAnsi="Arial" w:cs="Arial"/>
          <w:bCs/>
        </w:rPr>
        <w:t xml:space="preserve">. за показниками величини населеного пункту, за регіонами та </w:t>
      </w:r>
      <w:proofErr w:type="spellStart"/>
      <w:r w:rsidRPr="007C2682">
        <w:rPr>
          <w:rFonts w:ascii="Arial" w:hAnsi="Arial" w:cs="Arial"/>
          <w:bCs/>
        </w:rPr>
        <w:t>геолокацією</w:t>
      </w:r>
      <w:proofErr w:type="spellEnd"/>
      <w:r w:rsidRPr="007C2682">
        <w:rPr>
          <w:rFonts w:ascii="Arial" w:hAnsi="Arial" w:cs="Arial"/>
          <w:bCs/>
        </w:rPr>
        <w:t>. Інструментами кореляційно-регресійного аналізу визначено фактори впливу зовнішнього середовища на показники доходів домогосподарств від підприємницької діяльності, побудовано матрицю коефіцієнтів кореляційної моделі та отримано регресійні моделі. За результатами проведеного дослідження визначено основні тенденції коливання доходів домогосподарств від підприємницької діяльності, сформовано та обґрунтовано авторське бачення сутності отриманих показників.</w:t>
      </w:r>
    </w:p>
    <w:p w:rsidR="00CF1236" w:rsidRDefault="00CF1236" w:rsidP="00CF1236">
      <w:pPr>
        <w:ind w:firstLine="284"/>
        <w:jc w:val="both"/>
        <w:rPr>
          <w:rFonts w:ascii="Arial" w:hAnsi="Arial" w:cs="Arial"/>
          <w:bCs/>
        </w:rPr>
      </w:pPr>
    </w:p>
    <w:p w:rsidR="00CF1236" w:rsidRPr="00CF2A28" w:rsidRDefault="00CF1236" w:rsidP="00CF1236">
      <w:pPr>
        <w:ind w:firstLine="284"/>
        <w:jc w:val="both"/>
        <w:rPr>
          <w:rFonts w:ascii="Arial" w:hAnsi="Arial" w:cs="Arial"/>
          <w:bCs/>
          <w:spacing w:val="-6"/>
        </w:rPr>
      </w:pPr>
      <w:proofErr w:type="spellStart"/>
      <w:r w:rsidRPr="00CF2A28">
        <w:rPr>
          <w:rFonts w:ascii="Arial" w:hAnsi="Arial" w:cs="Arial"/>
          <w:b/>
          <w:bCs/>
          <w:spacing w:val="-6"/>
        </w:rPr>
        <w:t>Мінакова</w:t>
      </w:r>
      <w:proofErr w:type="spellEnd"/>
      <w:r w:rsidRPr="00CF2A28">
        <w:rPr>
          <w:rFonts w:ascii="Arial" w:hAnsi="Arial" w:cs="Arial"/>
          <w:b/>
          <w:bCs/>
          <w:spacing w:val="-6"/>
        </w:rPr>
        <w:t>, С. М. Особливості державної політики для розвитку авіаційної галузі в умовах міжнародної конкуренції</w:t>
      </w:r>
      <w:r w:rsidRPr="00CF2A28">
        <w:rPr>
          <w:rFonts w:ascii="Arial" w:hAnsi="Arial" w:cs="Arial"/>
          <w:bCs/>
          <w:spacing w:val="-6"/>
        </w:rPr>
        <w:t xml:space="preserve"> / С. М. </w:t>
      </w:r>
      <w:proofErr w:type="spellStart"/>
      <w:r w:rsidRPr="00CF2A28">
        <w:rPr>
          <w:rFonts w:ascii="Arial" w:hAnsi="Arial" w:cs="Arial"/>
          <w:bCs/>
          <w:spacing w:val="-6"/>
        </w:rPr>
        <w:t>Мінакова</w:t>
      </w:r>
      <w:proofErr w:type="spellEnd"/>
      <w:r w:rsidRPr="00CF2A28">
        <w:rPr>
          <w:rFonts w:ascii="Arial" w:hAnsi="Arial" w:cs="Arial"/>
          <w:bCs/>
          <w:spacing w:val="-6"/>
        </w:rPr>
        <w:t xml:space="preserve"> // Економіка. Фінанси. Право. – 2020. – № 9. – С. 25-32.</w:t>
      </w:r>
    </w:p>
    <w:p w:rsidR="00CF1236" w:rsidRPr="007C2682" w:rsidRDefault="00CF1236" w:rsidP="00CF1236">
      <w:pPr>
        <w:ind w:firstLine="284"/>
        <w:jc w:val="both"/>
        <w:rPr>
          <w:rFonts w:ascii="Arial" w:hAnsi="Arial" w:cs="Arial"/>
          <w:bCs/>
        </w:rPr>
      </w:pPr>
      <w:r w:rsidRPr="007C2682">
        <w:rPr>
          <w:rFonts w:ascii="Arial" w:hAnsi="Arial" w:cs="Arial"/>
          <w:bCs/>
        </w:rPr>
        <w:t>На відміну від більшості галузей світової економіки основою регулювання авіаційної галузі становить система двосторонніх міждержавних угод, які не входять до генеральної угоди про торгівлю послугами СОТ. Лібералізація призвела до високих темпів розвитку галузі авіаційної галузі та збільшення її значення для світової економіки. Державна політика стосовно підтримки розвитку авіаційної галузі спрямована на забезпечення конкурентних умов та економічну ефективність на основі максимізації споживчої якості.</w:t>
      </w:r>
    </w:p>
    <w:p w:rsidR="00CF1236" w:rsidRDefault="00CF1236" w:rsidP="00CF1236">
      <w:pPr>
        <w:ind w:firstLine="284"/>
        <w:jc w:val="both"/>
        <w:rPr>
          <w:rFonts w:ascii="Arial" w:hAnsi="Arial" w:cs="Arial"/>
          <w:b/>
          <w:bCs/>
        </w:rPr>
      </w:pPr>
    </w:p>
    <w:p w:rsidR="00CF1236" w:rsidRPr="00CF2A28" w:rsidRDefault="00CF1236" w:rsidP="00CF1236">
      <w:pPr>
        <w:ind w:firstLine="284"/>
        <w:jc w:val="both"/>
        <w:rPr>
          <w:rFonts w:ascii="Arial" w:hAnsi="Arial" w:cs="Arial"/>
          <w:bCs/>
          <w:spacing w:val="-6"/>
        </w:rPr>
      </w:pPr>
      <w:r w:rsidRPr="00CF2A28">
        <w:rPr>
          <w:rFonts w:ascii="Arial" w:hAnsi="Arial" w:cs="Arial"/>
          <w:b/>
          <w:bCs/>
          <w:spacing w:val="-6"/>
        </w:rPr>
        <w:t>Македон, Г. М. Особливості дослідження і формування споживання та заощаджень сільського населення</w:t>
      </w:r>
      <w:r w:rsidRPr="00CF2A28">
        <w:rPr>
          <w:rFonts w:ascii="Arial" w:hAnsi="Arial" w:cs="Arial"/>
          <w:bCs/>
          <w:spacing w:val="-6"/>
        </w:rPr>
        <w:t xml:space="preserve"> / Г. М. Македон // Економіка. Фінанси. Право. – 2020. – № 9. – С. 32-36.</w:t>
      </w:r>
    </w:p>
    <w:p w:rsidR="00CF1236" w:rsidRPr="007C2682" w:rsidRDefault="00CF1236" w:rsidP="00CF1236">
      <w:pPr>
        <w:ind w:firstLine="284"/>
        <w:jc w:val="both"/>
        <w:rPr>
          <w:rFonts w:ascii="Arial" w:hAnsi="Arial" w:cs="Arial"/>
          <w:bCs/>
        </w:rPr>
      </w:pPr>
      <w:r w:rsidRPr="007C2682">
        <w:rPr>
          <w:rFonts w:ascii="Arial" w:hAnsi="Arial" w:cs="Arial"/>
          <w:bCs/>
        </w:rPr>
        <w:t>У статті розглянуто особливості дослідження та збору статистичної та аналітичної інформації стосовно сукупних витрат домогосподарств, зокрема рівня їх споживання та заощаджень. Закцентувано увагу на достатній періодичності, існуванні альтернативних опитувань, окрім Держаного комітету статистики України. Водночас приділено увагу значній частці недостовірності, оскільки домогосподарстві не несуть жодної відповідальності за подані недостовірні дані. Розглянуто Стратегію розвитку фінансового сектору України до 2025 р., особливо положень про фінансову грамотність населення. Наведено орієнтовну схему покращення фінансування сільських територій. Наголошено, що сільські домогосподарства мають високий рівень до заощаджень і саме ці ресурси можуть стати потужним інвестиційним ресурсом для регіонального розвитку. Наведено способи активізації інвестиційної активності сільського населення.</w:t>
      </w:r>
    </w:p>
    <w:p w:rsidR="00CF1236" w:rsidRDefault="00CF1236" w:rsidP="00CF1236">
      <w:pPr>
        <w:ind w:firstLine="284"/>
        <w:jc w:val="both"/>
        <w:rPr>
          <w:rFonts w:ascii="Arial" w:hAnsi="Arial" w:cs="Arial"/>
          <w:b/>
          <w:bCs/>
        </w:rPr>
      </w:pPr>
    </w:p>
    <w:p w:rsidR="00CF1236" w:rsidRPr="00CF2A28" w:rsidRDefault="00CF1236" w:rsidP="00CF1236">
      <w:pPr>
        <w:ind w:firstLine="284"/>
        <w:jc w:val="both"/>
        <w:rPr>
          <w:rFonts w:ascii="Arial" w:hAnsi="Arial" w:cs="Arial"/>
          <w:bCs/>
          <w:spacing w:val="-6"/>
        </w:rPr>
      </w:pPr>
      <w:proofErr w:type="spellStart"/>
      <w:r w:rsidRPr="00CF2A28">
        <w:rPr>
          <w:rFonts w:ascii="Arial" w:hAnsi="Arial" w:cs="Arial"/>
          <w:b/>
          <w:bCs/>
          <w:spacing w:val="-6"/>
        </w:rPr>
        <w:t>Чубань</w:t>
      </w:r>
      <w:proofErr w:type="spellEnd"/>
      <w:r w:rsidRPr="00CF2A28">
        <w:rPr>
          <w:rFonts w:ascii="Arial" w:hAnsi="Arial" w:cs="Arial"/>
          <w:b/>
          <w:bCs/>
          <w:spacing w:val="-6"/>
        </w:rPr>
        <w:t xml:space="preserve">, В. С. </w:t>
      </w:r>
      <w:proofErr w:type="spellStart"/>
      <w:r w:rsidRPr="00CF2A28">
        <w:rPr>
          <w:rFonts w:ascii="Arial" w:hAnsi="Arial" w:cs="Arial"/>
          <w:b/>
          <w:bCs/>
          <w:spacing w:val="-6"/>
        </w:rPr>
        <w:t>Problems</w:t>
      </w:r>
      <w:proofErr w:type="spellEnd"/>
      <w:r w:rsidRPr="00CF2A28">
        <w:rPr>
          <w:rFonts w:ascii="Arial" w:hAnsi="Arial" w:cs="Arial"/>
          <w:b/>
          <w:bCs/>
          <w:spacing w:val="-6"/>
        </w:rPr>
        <w:t xml:space="preserve"> </w:t>
      </w:r>
      <w:proofErr w:type="spellStart"/>
      <w:r w:rsidRPr="00CF2A28">
        <w:rPr>
          <w:rFonts w:ascii="Arial" w:hAnsi="Arial" w:cs="Arial"/>
          <w:b/>
          <w:bCs/>
          <w:spacing w:val="-6"/>
        </w:rPr>
        <w:t>and</w:t>
      </w:r>
      <w:proofErr w:type="spellEnd"/>
      <w:r w:rsidRPr="00CF2A28">
        <w:rPr>
          <w:rFonts w:ascii="Arial" w:hAnsi="Arial" w:cs="Arial"/>
          <w:b/>
          <w:bCs/>
          <w:spacing w:val="-6"/>
        </w:rPr>
        <w:t xml:space="preserve"> </w:t>
      </w:r>
      <w:proofErr w:type="spellStart"/>
      <w:r w:rsidRPr="00CF2A28">
        <w:rPr>
          <w:rFonts w:ascii="Arial" w:hAnsi="Arial" w:cs="Arial"/>
          <w:b/>
          <w:bCs/>
          <w:spacing w:val="-6"/>
        </w:rPr>
        <w:t>further</w:t>
      </w:r>
      <w:proofErr w:type="spellEnd"/>
      <w:r w:rsidRPr="00CF2A28">
        <w:rPr>
          <w:rFonts w:ascii="Arial" w:hAnsi="Arial" w:cs="Arial"/>
          <w:b/>
          <w:bCs/>
          <w:spacing w:val="-6"/>
        </w:rPr>
        <w:t xml:space="preserve"> </w:t>
      </w:r>
      <w:proofErr w:type="spellStart"/>
      <w:r w:rsidRPr="00CF2A28">
        <w:rPr>
          <w:rFonts w:ascii="Arial" w:hAnsi="Arial" w:cs="Arial"/>
          <w:b/>
          <w:bCs/>
          <w:spacing w:val="-6"/>
        </w:rPr>
        <w:t>development</w:t>
      </w:r>
      <w:proofErr w:type="spellEnd"/>
      <w:r w:rsidRPr="00CF2A28">
        <w:rPr>
          <w:rFonts w:ascii="Arial" w:hAnsi="Arial" w:cs="Arial"/>
          <w:b/>
          <w:bCs/>
          <w:spacing w:val="-6"/>
        </w:rPr>
        <w:t xml:space="preserve"> </w:t>
      </w:r>
      <w:proofErr w:type="spellStart"/>
      <w:r w:rsidRPr="00CF2A28">
        <w:rPr>
          <w:rFonts w:ascii="Arial" w:hAnsi="Arial" w:cs="Arial"/>
          <w:b/>
          <w:bCs/>
          <w:spacing w:val="-6"/>
        </w:rPr>
        <w:t>of</w:t>
      </w:r>
      <w:proofErr w:type="spellEnd"/>
      <w:r w:rsidRPr="00CF2A28">
        <w:rPr>
          <w:rFonts w:ascii="Arial" w:hAnsi="Arial" w:cs="Arial"/>
          <w:b/>
          <w:bCs/>
          <w:spacing w:val="-6"/>
        </w:rPr>
        <w:t xml:space="preserve"> </w:t>
      </w:r>
      <w:proofErr w:type="spellStart"/>
      <w:r w:rsidRPr="00CF2A28">
        <w:rPr>
          <w:rFonts w:ascii="Arial" w:hAnsi="Arial" w:cs="Arial"/>
          <w:b/>
          <w:bCs/>
          <w:spacing w:val="-6"/>
        </w:rPr>
        <w:t>functioning</w:t>
      </w:r>
      <w:proofErr w:type="spellEnd"/>
      <w:r w:rsidRPr="00CF2A28">
        <w:rPr>
          <w:rFonts w:ascii="Arial" w:hAnsi="Arial" w:cs="Arial"/>
          <w:b/>
          <w:bCs/>
          <w:spacing w:val="-6"/>
        </w:rPr>
        <w:t xml:space="preserve"> </w:t>
      </w:r>
      <w:proofErr w:type="spellStart"/>
      <w:r w:rsidRPr="00CF2A28">
        <w:rPr>
          <w:rFonts w:ascii="Arial" w:hAnsi="Arial" w:cs="Arial"/>
          <w:b/>
          <w:bCs/>
          <w:spacing w:val="-6"/>
        </w:rPr>
        <w:t>of</w:t>
      </w:r>
      <w:proofErr w:type="spellEnd"/>
      <w:r w:rsidRPr="00CF2A28">
        <w:rPr>
          <w:rFonts w:ascii="Arial" w:hAnsi="Arial" w:cs="Arial"/>
          <w:b/>
          <w:bCs/>
          <w:spacing w:val="-6"/>
        </w:rPr>
        <w:t xml:space="preserve"> </w:t>
      </w:r>
      <w:proofErr w:type="spellStart"/>
      <w:r w:rsidRPr="00CF2A28">
        <w:rPr>
          <w:rFonts w:ascii="Arial" w:hAnsi="Arial" w:cs="Arial"/>
          <w:b/>
          <w:bCs/>
          <w:spacing w:val="-6"/>
        </w:rPr>
        <w:t>specialized</w:t>
      </w:r>
      <w:proofErr w:type="spellEnd"/>
      <w:r w:rsidRPr="00CF2A28">
        <w:rPr>
          <w:rFonts w:ascii="Arial" w:hAnsi="Arial" w:cs="Arial"/>
          <w:b/>
          <w:bCs/>
          <w:spacing w:val="-6"/>
        </w:rPr>
        <w:t xml:space="preserve"> </w:t>
      </w:r>
      <w:proofErr w:type="spellStart"/>
      <w:r w:rsidRPr="00CF2A28">
        <w:rPr>
          <w:rFonts w:ascii="Arial" w:hAnsi="Arial" w:cs="Arial"/>
          <w:b/>
          <w:bCs/>
          <w:spacing w:val="-6"/>
        </w:rPr>
        <w:t>anti-corruption</w:t>
      </w:r>
      <w:proofErr w:type="spellEnd"/>
      <w:r w:rsidRPr="00CF2A28">
        <w:rPr>
          <w:rFonts w:ascii="Arial" w:hAnsi="Arial" w:cs="Arial"/>
          <w:b/>
          <w:bCs/>
          <w:spacing w:val="-6"/>
        </w:rPr>
        <w:t xml:space="preserve"> </w:t>
      </w:r>
      <w:proofErr w:type="spellStart"/>
      <w:r w:rsidRPr="00CF2A28">
        <w:rPr>
          <w:rFonts w:ascii="Arial" w:hAnsi="Arial" w:cs="Arial"/>
          <w:b/>
          <w:bCs/>
          <w:spacing w:val="-6"/>
        </w:rPr>
        <w:t>agencies</w:t>
      </w:r>
      <w:proofErr w:type="spellEnd"/>
      <w:r w:rsidRPr="00CF2A28">
        <w:rPr>
          <w:rFonts w:ascii="Arial" w:hAnsi="Arial" w:cs="Arial"/>
          <w:b/>
          <w:bCs/>
          <w:spacing w:val="-6"/>
        </w:rPr>
        <w:t xml:space="preserve"> (Проблеми та напрямки удосконалення функціонування спеціалізованих антикорупційних органів)</w:t>
      </w:r>
      <w:r w:rsidRPr="00CF2A28">
        <w:rPr>
          <w:spacing w:val="-6"/>
        </w:rPr>
        <w:t xml:space="preserve"> </w:t>
      </w:r>
      <w:r w:rsidRPr="00CF2A28">
        <w:rPr>
          <w:rFonts w:ascii="Arial" w:hAnsi="Arial" w:cs="Arial"/>
          <w:bCs/>
          <w:spacing w:val="-6"/>
        </w:rPr>
        <w:t xml:space="preserve">/ В. С. </w:t>
      </w:r>
      <w:proofErr w:type="spellStart"/>
      <w:r w:rsidRPr="00CF2A28">
        <w:rPr>
          <w:rFonts w:ascii="Arial" w:hAnsi="Arial" w:cs="Arial"/>
          <w:bCs/>
          <w:spacing w:val="-6"/>
        </w:rPr>
        <w:t>Чубань</w:t>
      </w:r>
      <w:proofErr w:type="spellEnd"/>
      <w:r w:rsidRPr="00CF2A28">
        <w:rPr>
          <w:rFonts w:ascii="Arial" w:hAnsi="Arial" w:cs="Arial"/>
          <w:bCs/>
          <w:spacing w:val="-6"/>
        </w:rPr>
        <w:t xml:space="preserve">, К. М. </w:t>
      </w:r>
      <w:proofErr w:type="spellStart"/>
      <w:r w:rsidRPr="00CF2A28">
        <w:rPr>
          <w:rFonts w:ascii="Arial" w:hAnsi="Arial" w:cs="Arial"/>
          <w:bCs/>
          <w:spacing w:val="-6"/>
        </w:rPr>
        <w:t>Пасинчук</w:t>
      </w:r>
      <w:proofErr w:type="spellEnd"/>
      <w:r w:rsidRPr="00CF2A28">
        <w:rPr>
          <w:rFonts w:ascii="Arial" w:hAnsi="Arial" w:cs="Arial"/>
          <w:bCs/>
          <w:spacing w:val="-6"/>
        </w:rPr>
        <w:t>, О. Ю. </w:t>
      </w:r>
      <w:proofErr w:type="spellStart"/>
      <w:r w:rsidRPr="00CF2A28">
        <w:rPr>
          <w:rFonts w:ascii="Arial" w:hAnsi="Arial" w:cs="Arial"/>
          <w:bCs/>
          <w:spacing w:val="-6"/>
        </w:rPr>
        <w:t>Крічкер</w:t>
      </w:r>
      <w:proofErr w:type="spellEnd"/>
      <w:r w:rsidRPr="00CF2A28">
        <w:rPr>
          <w:rFonts w:ascii="Arial" w:hAnsi="Arial" w:cs="Arial"/>
          <w:bCs/>
          <w:spacing w:val="-6"/>
        </w:rPr>
        <w:t xml:space="preserve"> // Економіка. Фінанси. Право. – 2020. – № 9. – С. 37-40.</w:t>
      </w:r>
    </w:p>
    <w:p w:rsidR="00CF1236" w:rsidRDefault="00CF1236" w:rsidP="00CF1236">
      <w:pPr>
        <w:ind w:firstLine="284"/>
        <w:jc w:val="both"/>
        <w:rPr>
          <w:rFonts w:ascii="Arial" w:hAnsi="Arial" w:cs="Arial"/>
          <w:bCs/>
        </w:rPr>
      </w:pPr>
      <w:r w:rsidRPr="007C2682">
        <w:rPr>
          <w:rFonts w:ascii="Arial" w:hAnsi="Arial" w:cs="Arial"/>
          <w:bCs/>
        </w:rPr>
        <w:t xml:space="preserve">У статті порушено проблему інституційного забезпечення протидії корупції. Визначено, що важливою складовою проблеми інституційного забезпечення протидії корупції є розпорошеність функції запобігання корупції між правоохоронними органами. Також у статті проаналізовано діяльність деяких спеціалізованих антикорупційних органів. Виокремлено пріоритетні напрями вдосконалення діяльності спеціалізованої </w:t>
      </w:r>
      <w:proofErr w:type="spellStart"/>
      <w:r w:rsidRPr="007C2682">
        <w:rPr>
          <w:rFonts w:ascii="Arial" w:hAnsi="Arial" w:cs="Arial"/>
          <w:bCs/>
        </w:rPr>
        <w:t>антикорупціійної</w:t>
      </w:r>
      <w:proofErr w:type="spellEnd"/>
      <w:r w:rsidRPr="007C2682">
        <w:rPr>
          <w:rFonts w:ascii="Arial" w:hAnsi="Arial" w:cs="Arial"/>
          <w:bCs/>
        </w:rPr>
        <w:t xml:space="preserve"> прокуратури та Національного </w:t>
      </w:r>
      <w:r w:rsidRPr="007C2682">
        <w:rPr>
          <w:rFonts w:ascii="Arial" w:hAnsi="Arial" w:cs="Arial"/>
          <w:bCs/>
        </w:rPr>
        <w:lastRenderedPageBreak/>
        <w:t>антикорупційного бюро України. Обґрунтовано, що функціонування спеціалізованої антикорупційної прокуратури є особливим видом правоохоронної діяльності із протидії корупції в органах державної влади та місцевого самоврядування. Зроблено висновок, що зважаючи на можливість неоднозначного трактування системи органів, що здійснюють заходи стосовно запобігання та протидії корупції, у законодавстві слід чітко визначити її в єдиному нормативно-правовому акті з чіткими розподілом їх обов’язків, а також форм взаємодії. У статті набули подальшого розвитку пропозиції стосовно напрямків подолання корупції в Україні, включаючи законодавчі та організаційно-управлінські ідеї впровадження в Україні зарубіжного досвіду запобігання і протидії корупції за прикладом зарубіжних країн. Зокрема, основні пріоритети державної антикорупційної політики в Україні повинні визначатися у спеціальному нормативному акті – Антикорупційній стратегії. Термін дії попередніх Антикорупційної стратегії та Державної програми з її реалізації спливли у грудні 2017 р., а тому новий 2018 р. Україна мала б розпочати з новими редакціями цих документів. Вже понад два роки в Україні немає основного стратегічного документу у сфері запобігання корупції. Проект Закону про Антикорупційну стратегію на 2018-2020 рр. 29 серпня 2019 р. було відкликано</w:t>
      </w:r>
      <w:r>
        <w:rPr>
          <w:rFonts w:ascii="Arial" w:hAnsi="Arial" w:cs="Arial"/>
          <w:bCs/>
        </w:rPr>
        <w:t>.</w:t>
      </w:r>
    </w:p>
    <w:p w:rsidR="00BF2EA5" w:rsidRDefault="00BF2EA5"/>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B"/>
    <w:rsid w:val="0097679B"/>
    <w:rsid w:val="00BF2EA5"/>
    <w:rsid w:val="00CF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D8ED-DF85-45A9-846F-5E7E7D78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3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Company>SPecialiST RePack</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2020-11-17T19:58:00Z</dcterms:created>
  <dcterms:modified xsi:type="dcterms:W3CDTF">2020-11-17T19:59:00Z</dcterms:modified>
</cp:coreProperties>
</file>