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E0" w:rsidRPr="007C0823" w:rsidRDefault="007066E0" w:rsidP="007066E0">
      <w:pPr>
        <w:ind w:firstLine="284"/>
        <w:jc w:val="center"/>
        <w:rPr>
          <w:rFonts w:ascii="Arial" w:hAnsi="Arial" w:cs="Arial"/>
          <w:b/>
          <w:bCs/>
          <w:i/>
          <w:spacing w:val="-6"/>
        </w:rPr>
      </w:pPr>
      <w:r w:rsidRPr="007C0823">
        <w:rPr>
          <w:rFonts w:ascii="Arial" w:hAnsi="Arial" w:cs="Arial"/>
          <w:b/>
          <w:bCs/>
          <w:i/>
          <w:spacing w:val="-6"/>
        </w:rPr>
        <w:t xml:space="preserve">Економіка України. – 2020. – № </w:t>
      </w:r>
      <w:r>
        <w:rPr>
          <w:rFonts w:ascii="Arial" w:hAnsi="Arial" w:cs="Arial"/>
          <w:b/>
          <w:bCs/>
          <w:i/>
          <w:spacing w:val="-6"/>
        </w:rPr>
        <w:t>7</w:t>
      </w:r>
      <w:r w:rsidRPr="007C0823">
        <w:rPr>
          <w:rFonts w:ascii="Arial" w:hAnsi="Arial" w:cs="Arial"/>
          <w:b/>
          <w:bCs/>
          <w:i/>
          <w:spacing w:val="-6"/>
        </w:rPr>
        <w:t>.</w:t>
      </w:r>
    </w:p>
    <w:p w:rsidR="007066E0" w:rsidRPr="007C0823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7C0823">
        <w:rPr>
          <w:rFonts w:ascii="Arial" w:hAnsi="Arial" w:cs="Arial"/>
          <w:b/>
          <w:bCs/>
          <w:spacing w:val="-6"/>
        </w:rPr>
        <w:t>Єфименко, Т. I. Трансформації фінансового управління і сталий розвиток національної економіки</w:t>
      </w:r>
      <w:r w:rsidRPr="007C0823">
        <w:rPr>
          <w:rFonts w:ascii="Arial" w:hAnsi="Arial" w:cs="Arial"/>
          <w:bCs/>
          <w:spacing w:val="-6"/>
        </w:rPr>
        <w:t xml:space="preserve"> / Т. I. Єфименко // Економіка України. – 2020. – № 7. – С. 5</w:t>
      </w:r>
      <w:r>
        <w:rPr>
          <w:rFonts w:ascii="Arial" w:hAnsi="Arial" w:cs="Arial"/>
          <w:bCs/>
          <w:spacing w:val="-6"/>
        </w:rPr>
        <w:t>-</w:t>
      </w:r>
      <w:r w:rsidRPr="007C0823">
        <w:rPr>
          <w:rFonts w:ascii="Arial" w:hAnsi="Arial" w:cs="Arial"/>
          <w:bCs/>
          <w:spacing w:val="-6"/>
        </w:rPr>
        <w:t xml:space="preserve">13. 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794F5E">
        <w:rPr>
          <w:rFonts w:ascii="Arial" w:hAnsi="Arial" w:cs="Arial"/>
          <w:bCs/>
          <w:spacing w:val="-6"/>
        </w:rPr>
        <w:t>В умовах глобальних викликів дестабілізації вкрай актуальним постає спрямування управлінських дій усіх гілок влади на реалізацію антикризових програм з урахуванням особливостей рівнів регулювання та конкретних секторів економіки. Своєчасна підтримка конструктивних ініціатив щодо комплексного вирішення проблем їх розроблення та впровадження має забезпечуватися не тільки в інституціональному, а й у ресурсному і фінансовому вимірах. У контексті євроінтеграційних процесів, на тлі непередбачуваних перспектив глобального розвитку, вдосконалення управління державними і міжнародними фінансами вимагає створення інноваційних знань, розроблення адекватних пропозицій щодо внесення відповідних змін до наявних регулятивних, поведінкових норм і правил.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794F5E">
        <w:rPr>
          <w:rFonts w:ascii="Arial" w:hAnsi="Arial" w:cs="Arial"/>
          <w:bCs/>
          <w:spacing w:val="-6"/>
        </w:rPr>
        <w:t xml:space="preserve">Метою статті є обґрунтування напрямів скоординованих трансформацій у сфері державного фінансового управління, його фіскальної та монетарної складових з урахуванням тенденцій глобальної </w:t>
      </w:r>
      <w:proofErr w:type="spellStart"/>
      <w:r w:rsidRPr="00794F5E">
        <w:rPr>
          <w:rFonts w:ascii="Arial" w:hAnsi="Arial" w:cs="Arial"/>
          <w:bCs/>
          <w:spacing w:val="-6"/>
        </w:rPr>
        <w:t>фінансіалізації</w:t>
      </w:r>
      <w:proofErr w:type="spellEnd"/>
      <w:r w:rsidRPr="00794F5E">
        <w:rPr>
          <w:rFonts w:ascii="Arial" w:hAnsi="Arial" w:cs="Arial"/>
          <w:bCs/>
          <w:spacing w:val="-6"/>
        </w:rPr>
        <w:t>, а також загроз рецесії національної економіки. Застосовано інституціональний підхід і методи наукового аналізу: емпіричний, статистичний, порівняльний, ретроспективний, а також логічні та інші методи, зокрема, з використанням експертних оцінок.</w:t>
      </w:r>
    </w:p>
    <w:p w:rsidR="007066E0" w:rsidRPr="007C0823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</w:p>
    <w:p w:rsidR="007066E0" w:rsidRPr="007C0823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794F5E">
        <w:rPr>
          <w:rFonts w:ascii="Arial" w:hAnsi="Arial" w:cs="Arial"/>
          <w:b/>
          <w:bCs/>
          <w:spacing w:val="-6"/>
        </w:rPr>
        <w:t>Шаров, О. М. "Корона-тест" фінансової системи України: зовнішні загрози</w:t>
      </w:r>
      <w:r w:rsidRPr="007C0823">
        <w:rPr>
          <w:rFonts w:ascii="Arial" w:hAnsi="Arial" w:cs="Arial"/>
          <w:bCs/>
          <w:spacing w:val="-6"/>
        </w:rPr>
        <w:t xml:space="preserve"> / О. М. Шаров // Економі</w:t>
      </w:r>
      <w:r>
        <w:rPr>
          <w:rFonts w:ascii="Arial" w:hAnsi="Arial" w:cs="Arial"/>
          <w:bCs/>
          <w:spacing w:val="-6"/>
        </w:rPr>
        <w:t>ка України. – 2020. – № 7. – С.</w:t>
      </w:r>
      <w:r>
        <w:rPr>
          <w:rFonts w:ascii="Arial" w:hAnsi="Arial" w:cs="Arial"/>
          <w:bCs/>
          <w:spacing w:val="-6"/>
          <w:lang w:val="ru-RU"/>
        </w:rPr>
        <w:t> </w:t>
      </w:r>
      <w:r w:rsidRPr="007C0823">
        <w:rPr>
          <w:rFonts w:ascii="Arial" w:hAnsi="Arial" w:cs="Arial"/>
          <w:bCs/>
          <w:spacing w:val="-6"/>
        </w:rPr>
        <w:t>14</w:t>
      </w:r>
      <w:r>
        <w:rPr>
          <w:rFonts w:ascii="Arial" w:hAnsi="Arial" w:cs="Arial"/>
          <w:bCs/>
          <w:spacing w:val="-6"/>
        </w:rPr>
        <w:t>-</w:t>
      </w:r>
      <w:r w:rsidRPr="007C0823">
        <w:rPr>
          <w:rFonts w:ascii="Arial" w:hAnsi="Arial" w:cs="Arial"/>
          <w:bCs/>
          <w:spacing w:val="-6"/>
        </w:rPr>
        <w:t>26.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794F5E">
        <w:rPr>
          <w:rFonts w:ascii="Arial" w:hAnsi="Arial" w:cs="Arial"/>
          <w:bCs/>
          <w:spacing w:val="-6"/>
        </w:rPr>
        <w:t xml:space="preserve">Після світової фінансової кризи 2008––2009 рр. експерти практично кожного року чекали на нову кризу, причому особливе занепокоєння викликав саме 2020 р. Карантинні заходи, вжиті заради протистояння пандемії </w:t>
      </w:r>
      <w:proofErr w:type="spellStart"/>
      <w:r w:rsidRPr="00794F5E">
        <w:rPr>
          <w:rFonts w:ascii="Arial" w:hAnsi="Arial" w:cs="Arial"/>
          <w:bCs/>
          <w:spacing w:val="-6"/>
        </w:rPr>
        <w:t>коронавірусу</w:t>
      </w:r>
      <w:proofErr w:type="spellEnd"/>
      <w:r w:rsidRPr="00794F5E">
        <w:rPr>
          <w:rFonts w:ascii="Arial" w:hAnsi="Arial" w:cs="Arial"/>
          <w:bCs/>
          <w:spacing w:val="-6"/>
        </w:rPr>
        <w:t>, помітно погіршили умови функціонування фінансових інститутів і створили додаткове навантаження. Таким чином, вони відіграли роль своєрідного «корона-тесту», який дозволив перевірити стійкість фінансової системи. Це стосується як світової фінансової системи, так і фінансової системи кожної окремої країни, в тому числі й України.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794F5E">
        <w:rPr>
          <w:rFonts w:ascii="Arial" w:hAnsi="Arial" w:cs="Arial"/>
          <w:bCs/>
          <w:spacing w:val="-6"/>
        </w:rPr>
        <w:t xml:space="preserve">Щодо зовнішніх загроз для стійкості фінансової системи України, то вони, головним чином, стосуються двох аспектів –– рівня зовнішньої державної заборгованості та курсової </w:t>
      </w:r>
      <w:proofErr w:type="spellStart"/>
      <w:r w:rsidRPr="00794F5E">
        <w:rPr>
          <w:rFonts w:ascii="Arial" w:hAnsi="Arial" w:cs="Arial"/>
          <w:bCs/>
          <w:spacing w:val="-6"/>
        </w:rPr>
        <w:t>волатильності</w:t>
      </w:r>
      <w:proofErr w:type="spellEnd"/>
      <w:r w:rsidRPr="00794F5E">
        <w:rPr>
          <w:rFonts w:ascii="Arial" w:hAnsi="Arial" w:cs="Arial"/>
          <w:bCs/>
          <w:spacing w:val="-6"/>
        </w:rPr>
        <w:t xml:space="preserve"> національної валюти.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794F5E">
        <w:rPr>
          <w:rFonts w:ascii="Arial" w:hAnsi="Arial" w:cs="Arial"/>
          <w:bCs/>
          <w:spacing w:val="-6"/>
        </w:rPr>
        <w:t>Економічна наука не має однозначної відповіді на питання критичного рівня зовнішньої заборгованості, який фактично визначається ефективністю використання зовнішніх запозичень і можливістю їх обслуговування. Ситуація, яка склалася в Україні, вимагає від влади чіткого її розуміння та здійснення вибору подальшої стратегії: продовження обслуговування зовнішнього боргу на існуючих умовах, оголошення дефолту або нової реструктуризації. Кожен з варіантів створює певні ризики для стабільності фінансової системи України, які повинні бути заздалегідь ураховані.</w:t>
      </w: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794F5E">
        <w:rPr>
          <w:rFonts w:ascii="Arial" w:hAnsi="Arial" w:cs="Arial"/>
          <w:bCs/>
          <w:spacing w:val="-6"/>
        </w:rPr>
        <w:t>Валютно-курсова стабільність також безпосередньо пов’язана із станом зовнішньої заборгованості, який впливає на попит і пропозицію на валютному ринку країни. У таких умовах відмова Національного банку України від курсової політики (політики вільно плаваючого курсу), по суті, створює проблему безвідповідальності НБУ за курсову політику. І хоча можна констатувати, що українська фінансова система поки що витримала «корона-тест» і виявилася більш стійкою, ніж очікували деякі експерти, у разі погіршення ситуації, зумовленого наслідками карантину, фінансова криза в Україні може стати реальністю.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proofErr w:type="spellStart"/>
      <w:r w:rsidRPr="00794F5E">
        <w:rPr>
          <w:rFonts w:ascii="Arial" w:hAnsi="Arial" w:cs="Arial"/>
          <w:b/>
          <w:bCs/>
          <w:spacing w:val="-6"/>
        </w:rPr>
        <w:t>Борзенко</w:t>
      </w:r>
      <w:proofErr w:type="spellEnd"/>
      <w:r w:rsidRPr="00794F5E">
        <w:rPr>
          <w:rFonts w:ascii="Arial" w:hAnsi="Arial" w:cs="Arial"/>
          <w:b/>
          <w:bCs/>
          <w:spacing w:val="-6"/>
        </w:rPr>
        <w:t>, О. О. Зміни на світових фінансових ринках під впливом геоекономічних імперативів сучасності</w:t>
      </w:r>
      <w:r w:rsidRPr="00794F5E">
        <w:rPr>
          <w:rFonts w:ascii="Arial" w:hAnsi="Arial" w:cs="Arial"/>
          <w:bCs/>
          <w:spacing w:val="-6"/>
        </w:rPr>
        <w:t xml:space="preserve"> / О. О. </w:t>
      </w:r>
      <w:proofErr w:type="spellStart"/>
      <w:r w:rsidRPr="00794F5E">
        <w:rPr>
          <w:rFonts w:ascii="Arial" w:hAnsi="Arial" w:cs="Arial"/>
          <w:bCs/>
          <w:spacing w:val="-6"/>
        </w:rPr>
        <w:t>Борзенко</w:t>
      </w:r>
      <w:proofErr w:type="spellEnd"/>
      <w:r w:rsidRPr="00794F5E">
        <w:rPr>
          <w:rFonts w:ascii="Arial" w:hAnsi="Arial" w:cs="Arial"/>
          <w:bCs/>
          <w:spacing w:val="-6"/>
        </w:rPr>
        <w:t xml:space="preserve"> // Економіка України. – 2020. – № 7. – С. 27</w:t>
      </w:r>
      <w:r>
        <w:rPr>
          <w:rFonts w:ascii="Arial" w:hAnsi="Arial" w:cs="Arial"/>
          <w:bCs/>
          <w:spacing w:val="-6"/>
        </w:rPr>
        <w:t>-</w:t>
      </w:r>
      <w:r w:rsidRPr="00794F5E">
        <w:rPr>
          <w:rFonts w:ascii="Arial" w:hAnsi="Arial" w:cs="Arial"/>
          <w:bCs/>
          <w:spacing w:val="-6"/>
        </w:rPr>
        <w:t>34.</w:t>
      </w:r>
      <w:r>
        <w:rPr>
          <w:rFonts w:ascii="Arial" w:hAnsi="Arial" w:cs="Arial"/>
          <w:bCs/>
          <w:spacing w:val="-6"/>
        </w:rPr>
        <w:t xml:space="preserve"> 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794F5E">
        <w:rPr>
          <w:rFonts w:ascii="Arial" w:hAnsi="Arial" w:cs="Arial"/>
          <w:bCs/>
          <w:spacing w:val="-6"/>
        </w:rPr>
        <w:t xml:space="preserve">Посилення невизначеності світової економіки та підвищення турбулентності міжнародного ринку капіталів породжують глобальні ризики для фінансових ринків, особливо в сучасний період кризи пандемії. Використання переваг фінансової глобалізації за мінімізації її ризиків вимагає як застосування специфічних заходів регулювання припливу-відпливу капіталів, так і проведення системних комплексних економічних реформ за успішними моделями і прикладами розвинутих країн світу і країн, що розвиваються. У сучасному методологічному концепті виявляються закономірності еволюції моделей функціонування фінансового ринку. Глобальна корпоратизація, регіональна локалізація та інституціональна організація фінансових ринків є основними геоекономічними імперативами, що впливають на зміну форматів фінансових ринків. З геоекономічних позицій регулятивні механізми стабільного і прозорого функціонування фінансових ринків створюють світову фінансову систему більш гнучкою. У новій конфігурації міжнародних фінансових організацій окреслюються нові орієнтири через впровадження розроблених методологічних кроків економічної політики країн з ринками, що розвиваються. Глобалізація в сучасному світі </w:t>
      </w:r>
      <w:proofErr w:type="spellStart"/>
      <w:r w:rsidRPr="00794F5E">
        <w:rPr>
          <w:rFonts w:ascii="Arial" w:hAnsi="Arial" w:cs="Arial"/>
          <w:bCs/>
          <w:spacing w:val="-6"/>
        </w:rPr>
        <w:t>потужно</w:t>
      </w:r>
      <w:proofErr w:type="spellEnd"/>
      <w:r w:rsidRPr="00794F5E">
        <w:rPr>
          <w:rFonts w:ascii="Arial" w:hAnsi="Arial" w:cs="Arial"/>
          <w:bCs/>
          <w:spacing w:val="-6"/>
        </w:rPr>
        <w:t xml:space="preserve"> вплинула на посилення конкурентної боротьби між країнами світу за інвестиції, технології, робочі місця, тому країнам, що розвиваються, потрібно чітко визначити мету, шлях і швидко здійснити таку трансформацію, яка базувалася б на комплексному соціально-економічному реформуванні та стратегії підвищення національної конкурентоспроможності. З комплексними і чітко окресленими пріоритетами і реформами фінансові ринки країн, що формуються, та країн, які розвиваються, матимуть перспективу розвитку і можливість протидіяти негативним наслідкам фінансової глобалізації у світі.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/>
          <w:bCs/>
          <w:spacing w:val="-6"/>
        </w:rPr>
        <w:lastRenderedPageBreak/>
        <w:t>Внутрішні чинники зміцнення стійкості фінансової системи України</w:t>
      </w:r>
      <w:r w:rsidRPr="00794F5E">
        <w:rPr>
          <w:rFonts w:ascii="Arial" w:hAnsi="Arial" w:cs="Arial"/>
          <w:bCs/>
          <w:spacing w:val="-6"/>
        </w:rPr>
        <w:t xml:space="preserve"> / Л. Г. </w:t>
      </w:r>
      <w:proofErr w:type="spellStart"/>
      <w:r w:rsidRPr="00794F5E">
        <w:rPr>
          <w:rFonts w:ascii="Arial" w:hAnsi="Arial" w:cs="Arial"/>
          <w:bCs/>
          <w:spacing w:val="-6"/>
        </w:rPr>
        <w:t>Шемаєва</w:t>
      </w:r>
      <w:proofErr w:type="spellEnd"/>
      <w:r w:rsidRPr="00794F5E">
        <w:rPr>
          <w:rFonts w:ascii="Arial" w:hAnsi="Arial" w:cs="Arial"/>
          <w:bCs/>
          <w:spacing w:val="-6"/>
        </w:rPr>
        <w:t xml:space="preserve">, Я. А. Жаліло, Д. М. Гладких, </w:t>
      </w:r>
      <w:r w:rsidRPr="00B23220">
        <w:rPr>
          <w:rFonts w:ascii="Arial" w:hAnsi="Arial" w:cs="Arial"/>
          <w:bCs/>
          <w:spacing w:val="-6"/>
        </w:rPr>
        <w:t>Ю. В.</w:t>
      </w:r>
      <w:r>
        <w:rPr>
          <w:rFonts w:ascii="Arial" w:hAnsi="Arial" w:cs="Arial"/>
          <w:bCs/>
          <w:spacing w:val="-6"/>
        </w:rPr>
        <w:t xml:space="preserve"> </w:t>
      </w:r>
      <w:proofErr w:type="spellStart"/>
      <w:r w:rsidRPr="00B23220">
        <w:rPr>
          <w:rFonts w:ascii="Arial" w:hAnsi="Arial" w:cs="Arial"/>
          <w:bCs/>
          <w:spacing w:val="-6"/>
        </w:rPr>
        <w:t>Касперович</w:t>
      </w:r>
      <w:proofErr w:type="spellEnd"/>
      <w:r w:rsidRPr="00B23220">
        <w:rPr>
          <w:rFonts w:ascii="Arial" w:hAnsi="Arial" w:cs="Arial"/>
          <w:bCs/>
          <w:spacing w:val="-6"/>
        </w:rPr>
        <w:t>, Л. П.</w:t>
      </w:r>
      <w:r>
        <w:rPr>
          <w:rFonts w:ascii="Arial" w:hAnsi="Arial" w:cs="Arial"/>
          <w:bCs/>
          <w:spacing w:val="-6"/>
        </w:rPr>
        <w:t xml:space="preserve"> </w:t>
      </w:r>
      <w:proofErr w:type="spellStart"/>
      <w:r w:rsidRPr="00B23220">
        <w:rPr>
          <w:rFonts w:ascii="Arial" w:hAnsi="Arial" w:cs="Arial"/>
          <w:bCs/>
          <w:spacing w:val="-6"/>
        </w:rPr>
        <w:t>Лондар</w:t>
      </w:r>
      <w:proofErr w:type="spellEnd"/>
      <w:r w:rsidRPr="00B23220">
        <w:rPr>
          <w:rFonts w:ascii="Arial" w:hAnsi="Arial" w:cs="Arial"/>
          <w:bCs/>
          <w:spacing w:val="-6"/>
        </w:rPr>
        <w:t xml:space="preserve">, А. Л. </w:t>
      </w:r>
      <w:proofErr w:type="spellStart"/>
      <w:r w:rsidRPr="00B23220">
        <w:rPr>
          <w:rFonts w:ascii="Arial" w:hAnsi="Arial" w:cs="Arial"/>
          <w:bCs/>
          <w:spacing w:val="-6"/>
        </w:rPr>
        <w:t>Дешко</w:t>
      </w:r>
      <w:proofErr w:type="spellEnd"/>
      <w:r w:rsidRPr="00B23220">
        <w:rPr>
          <w:rFonts w:ascii="Arial" w:hAnsi="Arial" w:cs="Arial"/>
          <w:bCs/>
          <w:spacing w:val="-6"/>
        </w:rPr>
        <w:t xml:space="preserve"> </w:t>
      </w:r>
      <w:r w:rsidRPr="00794F5E">
        <w:rPr>
          <w:rFonts w:ascii="Arial" w:hAnsi="Arial" w:cs="Arial"/>
          <w:bCs/>
          <w:spacing w:val="-6"/>
        </w:rPr>
        <w:t>// Економіка України. – 2020. – № 7. – С. 35</w:t>
      </w:r>
      <w:r>
        <w:rPr>
          <w:rFonts w:ascii="Arial" w:hAnsi="Arial" w:cs="Arial"/>
          <w:bCs/>
          <w:spacing w:val="-6"/>
        </w:rPr>
        <w:t>-</w:t>
      </w:r>
      <w:r w:rsidRPr="00794F5E">
        <w:rPr>
          <w:rFonts w:ascii="Arial" w:hAnsi="Arial" w:cs="Arial"/>
          <w:bCs/>
          <w:spacing w:val="-6"/>
        </w:rPr>
        <w:t>54.</w:t>
      </w:r>
    </w:p>
    <w:p w:rsidR="007066E0" w:rsidRPr="00B2322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 xml:space="preserve">Розглянуто проблему забезпечення стійкості фінансової системи України через призму її спроможності активно реагувати на вплив внутрішніх </w:t>
      </w:r>
      <w:proofErr w:type="spellStart"/>
      <w:r w:rsidRPr="00B23220">
        <w:rPr>
          <w:rFonts w:ascii="Arial" w:hAnsi="Arial" w:cs="Arial"/>
          <w:bCs/>
          <w:spacing w:val="-6"/>
        </w:rPr>
        <w:t>дисбалансів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у фіскальній, борговій, банківській сферах, а також координувати дії органів економічного управління щодо подолання </w:t>
      </w:r>
      <w:proofErr w:type="spellStart"/>
      <w:r w:rsidRPr="00B23220">
        <w:rPr>
          <w:rFonts w:ascii="Arial" w:hAnsi="Arial" w:cs="Arial"/>
          <w:bCs/>
          <w:spacing w:val="-6"/>
        </w:rPr>
        <w:t>дисбалансів</w:t>
      </w:r>
      <w:proofErr w:type="spellEnd"/>
      <w:r w:rsidRPr="00B23220">
        <w:rPr>
          <w:rFonts w:ascii="Arial" w:hAnsi="Arial" w:cs="Arial"/>
          <w:bCs/>
          <w:spacing w:val="-6"/>
        </w:rPr>
        <w:t>, пов’язаних з розгортанням глобальної кризи і необхідністю протидії поширенню захворюваності на COVID-19.</w:t>
      </w:r>
    </w:p>
    <w:p w:rsidR="007066E0" w:rsidRPr="00B2322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>Проаналізовано внутрішні чинники та проблеми забезпечення стійкості фінансової системи України і на цій основі визначено напрями її забезпечення. Окреслено чинники, які в сучасних умовах негативно впливають на фіскальну стійкість України, що зумовлено слабкою функціональністю податкової системи, яка проявляється у недовиконанні фіскальної функції податків, обмеженості потенціалу їх регулюючої функції та недовірі до контролюючої. Спостерігається відокремленість бюджетної політики від стратегічних завдань економічної політики держави, оскільки необхідність чіткого виконання поставлених завдань, у першу чергу соціального характеру, формує її короткострокову спрямованість. Попри певне покращення окремих показників, рівень боргової стійкості України нині залишається низьким, а національна економіка надто вразливою як до зовнішніх шоків, так і до внутрішніх диспропорцій. Негативними чинниками досягнення стійкості фінансової системи залишаються: вкрай повільне відновлення банківського кредитування, висока питома вага проблемних кредитів у кредитному портфелі банків, значний обсяг неповернутих кредитів рефінансування, висока питома вага валютних активів і пасивів, слабкі темпи нарощування прибутковості та капіталізації банківської системи.</w:t>
      </w: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 xml:space="preserve">Запропоновано основні пріоритети державної політики в бюджетно-податковій, борговій, банківській сферах з метою зміцнення стійкості фінансової системи України. Підкреслюється необхідність розгляду макроекономічної стабілізації у невідривному контексті структурних реформ; упровадження механізмів оцінки стійкості та координації складових фінансової політики, що потребуватиме взаємодії НБУ з органами виконавчої влади в рамках єдиної системи виявлення та подолання макроекономічних </w:t>
      </w:r>
      <w:proofErr w:type="spellStart"/>
      <w:r w:rsidRPr="00B23220">
        <w:rPr>
          <w:rFonts w:ascii="Arial" w:hAnsi="Arial" w:cs="Arial"/>
          <w:bCs/>
          <w:spacing w:val="-6"/>
        </w:rPr>
        <w:t>дисбалансів</w:t>
      </w:r>
      <w:proofErr w:type="spellEnd"/>
      <w:r w:rsidRPr="00B23220">
        <w:rPr>
          <w:rFonts w:ascii="Arial" w:hAnsi="Arial" w:cs="Arial"/>
          <w:bCs/>
          <w:spacing w:val="-6"/>
        </w:rPr>
        <w:t>.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794F5E">
        <w:rPr>
          <w:rFonts w:ascii="Arial" w:hAnsi="Arial" w:cs="Arial"/>
          <w:b/>
          <w:bCs/>
          <w:spacing w:val="-6"/>
        </w:rPr>
        <w:t xml:space="preserve">Петрик, О. І. </w:t>
      </w:r>
      <w:proofErr w:type="spellStart"/>
      <w:r w:rsidRPr="00794F5E">
        <w:rPr>
          <w:rFonts w:ascii="Arial" w:hAnsi="Arial" w:cs="Arial"/>
          <w:b/>
          <w:bCs/>
          <w:spacing w:val="-6"/>
        </w:rPr>
        <w:t>Макропруденційна</w:t>
      </w:r>
      <w:proofErr w:type="spellEnd"/>
      <w:r w:rsidRPr="00794F5E">
        <w:rPr>
          <w:rFonts w:ascii="Arial" w:hAnsi="Arial" w:cs="Arial"/>
          <w:b/>
          <w:bCs/>
          <w:spacing w:val="-6"/>
        </w:rPr>
        <w:t xml:space="preserve"> політика в умовах кризи</w:t>
      </w:r>
      <w:r w:rsidRPr="00794F5E">
        <w:rPr>
          <w:rFonts w:ascii="Arial" w:hAnsi="Arial" w:cs="Arial"/>
          <w:bCs/>
          <w:spacing w:val="-6"/>
        </w:rPr>
        <w:t xml:space="preserve"> </w:t>
      </w:r>
      <w:r>
        <w:rPr>
          <w:rFonts w:ascii="Arial" w:hAnsi="Arial" w:cs="Arial"/>
          <w:bCs/>
          <w:spacing w:val="-6"/>
        </w:rPr>
        <w:t>/ О. І. </w:t>
      </w:r>
      <w:r w:rsidRPr="00794F5E">
        <w:rPr>
          <w:rFonts w:ascii="Arial" w:hAnsi="Arial" w:cs="Arial"/>
          <w:bCs/>
          <w:spacing w:val="-6"/>
        </w:rPr>
        <w:t>Петрик, А. Я. Кузнєцова // Економіка України. – 2020. – № 7. – С. 55</w:t>
      </w:r>
      <w:r>
        <w:rPr>
          <w:rFonts w:ascii="Arial" w:hAnsi="Arial" w:cs="Arial"/>
          <w:bCs/>
          <w:spacing w:val="-6"/>
        </w:rPr>
        <w:t>-</w:t>
      </w:r>
      <w:r w:rsidRPr="00794F5E">
        <w:rPr>
          <w:rFonts w:ascii="Arial" w:hAnsi="Arial" w:cs="Arial"/>
          <w:bCs/>
          <w:spacing w:val="-6"/>
        </w:rPr>
        <w:t>63.</w:t>
      </w:r>
    </w:p>
    <w:p w:rsidR="007066E0" w:rsidRPr="00B2322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 xml:space="preserve">Функції </w:t>
      </w:r>
      <w:proofErr w:type="spellStart"/>
      <w:r w:rsidRPr="00B23220">
        <w:rPr>
          <w:rFonts w:ascii="Arial" w:hAnsi="Arial" w:cs="Arial"/>
          <w:bCs/>
          <w:spacing w:val="-6"/>
        </w:rPr>
        <w:t>пруденційного</w:t>
      </w:r>
      <w:proofErr w:type="spellEnd"/>
      <w:r w:rsidRPr="00B23220">
        <w:rPr>
          <w:rFonts w:ascii="Arial" w:hAnsi="Arial" w:cs="Arial"/>
          <w:bCs/>
          <w:spacing w:val="-6"/>
        </w:rPr>
        <w:t xml:space="preserve"> банківського нагляду та банківського регулювання завжди були ключовими в діяльності центральних банків або незалежних регуляторів банківських систем. Але до світової кризи 2007––2008 рр. акцент більшою мірою робився на </w:t>
      </w:r>
      <w:proofErr w:type="spellStart"/>
      <w:r w:rsidRPr="00B23220">
        <w:rPr>
          <w:rFonts w:ascii="Arial" w:hAnsi="Arial" w:cs="Arial"/>
          <w:bCs/>
          <w:spacing w:val="-6"/>
        </w:rPr>
        <w:t>мікропруденційних</w:t>
      </w:r>
      <w:proofErr w:type="spellEnd"/>
      <w:r w:rsidRPr="00B23220">
        <w:rPr>
          <w:rFonts w:ascii="Arial" w:hAnsi="Arial" w:cs="Arial"/>
          <w:bCs/>
          <w:spacing w:val="-6"/>
        </w:rPr>
        <w:t xml:space="preserve"> аспектах, які базувалися на показниках ліквідності та платоспроможності окремих банківських установ і регулюванні їх діяльності. Але ця криза довела, що навіть при забезпеченні цінової стабільності та належному нагляді за окремими банками, цього недостатньо для підтримання загальної макроекономічної стабільності фінансової системи в цілому. «Бульбашки» на ринку нерухомості, існування «морального ризику» при банківському кредитуванні бізнесу пов’язаних з банками осіб та відповідні банкрутства банків призвели до докорінного переформатування як банківського регулювання, так і введення де-юре функції забезпечення фінансової стабільності як основної функції регуляторів фінансових ринків. Це мало на меті запобігти суттєвим економічним і фінансовим втратам, які відбувалися внаслідок слабких фінансових систем, неналежного </w:t>
      </w:r>
      <w:proofErr w:type="spellStart"/>
      <w:r w:rsidRPr="00B23220">
        <w:rPr>
          <w:rFonts w:ascii="Arial" w:hAnsi="Arial" w:cs="Arial"/>
          <w:bCs/>
          <w:spacing w:val="-6"/>
        </w:rPr>
        <w:t>макропруденційного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регулювання та відповідної схильності населення та бізнесу до панічних дій у разі очікування кризових явищ. Для досягнення цієї мети регулятори застосовують інструментарій </w:t>
      </w:r>
      <w:proofErr w:type="spellStart"/>
      <w:r w:rsidRPr="00B23220">
        <w:rPr>
          <w:rFonts w:ascii="Arial" w:hAnsi="Arial" w:cs="Arial"/>
          <w:bCs/>
          <w:spacing w:val="-6"/>
        </w:rPr>
        <w:t>макропруденційних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інструментів та </w:t>
      </w:r>
      <w:proofErr w:type="spellStart"/>
      <w:r w:rsidRPr="00B23220">
        <w:rPr>
          <w:rFonts w:ascii="Arial" w:hAnsi="Arial" w:cs="Arial"/>
          <w:bCs/>
          <w:spacing w:val="-6"/>
        </w:rPr>
        <w:t>регуляцій</w:t>
      </w:r>
      <w:proofErr w:type="spellEnd"/>
      <w:r w:rsidRPr="00B23220">
        <w:rPr>
          <w:rFonts w:ascii="Arial" w:hAnsi="Arial" w:cs="Arial"/>
          <w:bCs/>
          <w:spacing w:val="-6"/>
        </w:rPr>
        <w:t>. Важливими аспектами цієї політики є недопущення розвитку фінансової дестабілізації, а в разі реалізації ризиків, пов’язаних з дією фінансових чи реальних негативних шоків, –– суттєве пом’якшення їх негативного впливу на економіку та фінанси.</w:t>
      </w: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 xml:space="preserve">У сучасних умовах перманентних криз і, зокрема, світової кризи, пов’язаної з пандемією, для центральних банків важливо дотримуватись ключових постулатів </w:t>
      </w:r>
      <w:proofErr w:type="spellStart"/>
      <w:r w:rsidRPr="00B23220">
        <w:rPr>
          <w:rFonts w:ascii="Arial" w:hAnsi="Arial" w:cs="Arial"/>
          <w:bCs/>
          <w:spacing w:val="-6"/>
        </w:rPr>
        <w:t>макропруденційного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регулювання, отже, бути гнучкими у використанні регуляторних нормативів та </w:t>
      </w:r>
      <w:proofErr w:type="spellStart"/>
      <w:r w:rsidRPr="00B23220">
        <w:rPr>
          <w:rFonts w:ascii="Arial" w:hAnsi="Arial" w:cs="Arial"/>
          <w:bCs/>
          <w:spacing w:val="-6"/>
        </w:rPr>
        <w:t>макропруденційних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інструментів; мінімізувати можливості морального ризику і підтримувати схильність до кращих світових практик у керуванні кредитними ризиками; управляти класифікацією активів, які дозволяють забезпечувати надійне керування ризиками, і не допускати послаблень у регуляторних дефініціях, які матимуть наслідком зростання непрацюючих кредитів (NPL –– </w:t>
      </w:r>
      <w:proofErr w:type="spellStart"/>
      <w:r w:rsidRPr="00B23220">
        <w:rPr>
          <w:rFonts w:ascii="Arial" w:hAnsi="Arial" w:cs="Arial"/>
          <w:bCs/>
          <w:spacing w:val="-6"/>
        </w:rPr>
        <w:t>non</w:t>
      </w:r>
      <w:proofErr w:type="spellEnd"/>
      <w:r w:rsidRPr="00B23220">
        <w:rPr>
          <w:rFonts w:ascii="Arial" w:hAnsi="Arial" w:cs="Arial"/>
          <w:bCs/>
          <w:spacing w:val="-6"/>
        </w:rPr>
        <w:t xml:space="preserve"> </w:t>
      </w:r>
      <w:proofErr w:type="spellStart"/>
      <w:r w:rsidRPr="00B23220">
        <w:rPr>
          <w:rFonts w:ascii="Arial" w:hAnsi="Arial" w:cs="Arial"/>
          <w:bCs/>
          <w:spacing w:val="-6"/>
        </w:rPr>
        <w:t>performing</w:t>
      </w:r>
      <w:proofErr w:type="spellEnd"/>
      <w:r w:rsidRPr="00B23220">
        <w:rPr>
          <w:rFonts w:ascii="Arial" w:hAnsi="Arial" w:cs="Arial"/>
          <w:bCs/>
          <w:spacing w:val="-6"/>
        </w:rPr>
        <w:t xml:space="preserve"> </w:t>
      </w:r>
      <w:proofErr w:type="spellStart"/>
      <w:r w:rsidRPr="00B23220">
        <w:rPr>
          <w:rFonts w:ascii="Arial" w:hAnsi="Arial" w:cs="Arial"/>
          <w:bCs/>
          <w:spacing w:val="-6"/>
        </w:rPr>
        <w:t>loans</w:t>
      </w:r>
      <w:proofErr w:type="spellEnd"/>
      <w:r w:rsidRPr="00B23220">
        <w:rPr>
          <w:rFonts w:ascii="Arial" w:hAnsi="Arial" w:cs="Arial"/>
          <w:bCs/>
          <w:spacing w:val="-6"/>
        </w:rPr>
        <w:t xml:space="preserve">); </w:t>
      </w:r>
      <w:proofErr w:type="spellStart"/>
      <w:r w:rsidRPr="00B23220">
        <w:rPr>
          <w:rFonts w:ascii="Arial" w:hAnsi="Arial" w:cs="Arial"/>
          <w:bCs/>
          <w:spacing w:val="-6"/>
        </w:rPr>
        <w:t>оперативно</w:t>
      </w:r>
      <w:proofErr w:type="spellEnd"/>
      <w:r w:rsidRPr="00B23220">
        <w:rPr>
          <w:rFonts w:ascii="Arial" w:hAnsi="Arial" w:cs="Arial"/>
          <w:bCs/>
          <w:spacing w:val="-6"/>
        </w:rPr>
        <w:t xml:space="preserve"> переглядати </w:t>
      </w:r>
      <w:proofErr w:type="spellStart"/>
      <w:r w:rsidRPr="00B23220">
        <w:rPr>
          <w:rFonts w:ascii="Arial" w:hAnsi="Arial" w:cs="Arial"/>
          <w:bCs/>
          <w:spacing w:val="-6"/>
        </w:rPr>
        <w:t>макропруденційні</w:t>
      </w:r>
      <w:proofErr w:type="spellEnd"/>
      <w:r w:rsidRPr="00B23220">
        <w:rPr>
          <w:rFonts w:ascii="Arial" w:hAnsi="Arial" w:cs="Arial"/>
          <w:bCs/>
          <w:spacing w:val="-6"/>
        </w:rPr>
        <w:t xml:space="preserve"> пріоритети у щільному діалозі з урядом та бізнесом.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proofErr w:type="spellStart"/>
      <w:r w:rsidRPr="00794F5E">
        <w:rPr>
          <w:rFonts w:ascii="Arial" w:hAnsi="Arial" w:cs="Arial"/>
          <w:b/>
          <w:bCs/>
          <w:spacing w:val="-6"/>
        </w:rPr>
        <w:t>Плотніков</w:t>
      </w:r>
      <w:proofErr w:type="spellEnd"/>
      <w:r w:rsidRPr="00794F5E">
        <w:rPr>
          <w:rFonts w:ascii="Arial" w:hAnsi="Arial" w:cs="Arial"/>
          <w:b/>
          <w:bCs/>
          <w:spacing w:val="-6"/>
        </w:rPr>
        <w:t>, О. В. Мінімізація зовнішніх чинників впливу на економічну стійкість України</w:t>
      </w:r>
      <w:r w:rsidRPr="00794F5E">
        <w:rPr>
          <w:rFonts w:ascii="Arial" w:hAnsi="Arial" w:cs="Arial"/>
          <w:bCs/>
          <w:spacing w:val="-6"/>
        </w:rPr>
        <w:t xml:space="preserve"> / О. В. </w:t>
      </w:r>
      <w:proofErr w:type="spellStart"/>
      <w:r w:rsidRPr="00794F5E">
        <w:rPr>
          <w:rFonts w:ascii="Arial" w:hAnsi="Arial" w:cs="Arial"/>
          <w:bCs/>
          <w:spacing w:val="-6"/>
        </w:rPr>
        <w:t>Плотніков</w:t>
      </w:r>
      <w:proofErr w:type="spellEnd"/>
      <w:r w:rsidRPr="00794F5E">
        <w:rPr>
          <w:rFonts w:ascii="Arial" w:hAnsi="Arial" w:cs="Arial"/>
          <w:bCs/>
          <w:spacing w:val="-6"/>
        </w:rPr>
        <w:t xml:space="preserve"> // Економіка України. – 2020. – № 7. – С. 64</w:t>
      </w:r>
      <w:r>
        <w:rPr>
          <w:rFonts w:ascii="Arial" w:hAnsi="Arial" w:cs="Arial"/>
          <w:bCs/>
          <w:spacing w:val="-6"/>
        </w:rPr>
        <w:t>-</w:t>
      </w:r>
      <w:r w:rsidRPr="00794F5E">
        <w:rPr>
          <w:rFonts w:ascii="Arial" w:hAnsi="Arial" w:cs="Arial"/>
          <w:bCs/>
          <w:spacing w:val="-6"/>
        </w:rPr>
        <w:t>73.</w:t>
      </w:r>
    </w:p>
    <w:p w:rsidR="007066E0" w:rsidRPr="00B2322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>Досліджено зовнішні чинники впливу на економічну стійкість України. Охарактеризовано особливості економічного розвитку і зовнішніх чинників в умовах поточних кризових явищ. У концептуальному плані зовнішні чинники впливу на економічну стійкість держави існували завжди та існуватимуть у майбутньому. На теоретичному і практичному рівні проблема зовнішніх впливів –– це питання не їх подолання, а їх мінімізації, зокрема, з метою досягнення тих чи інших державних цілей. У разі позитивних зовнішніх впливів ідеться не про мінімізацію, а скоріше, про керованість таких впливів з боку держави. У свою чергу, параметри мінімізації залежать безпосередньо від мети розвитку країни.</w:t>
      </w:r>
    </w:p>
    <w:p w:rsidR="007066E0" w:rsidRPr="00B2322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lastRenderedPageBreak/>
        <w:t>Визначено три групи чинників: ті, що виникають незалежно від дій України і впливати на які можна тільки з точки зору мінімізації їх негативного перебігу та наслідків; чинники, які ініційовані Україною з тих чи інших мотивів; чинники, які виступають як поєднання першої та другої груп.</w:t>
      </w:r>
    </w:p>
    <w:p w:rsidR="007066E0" w:rsidRPr="00B2322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>Запропоновано механізми мінімізації негативних впливів зовнішніх чинників на економічну стійкість України. Для цього необхідно виробити запобіжні заходи, які б або не дозволяли впливати на Україну негативно, або мінімізували такий негативний вплив. При побудові співробітництва з міжнародними фінансовими організаціями відносини з ними повинні ґрунтуватися на партнерській основі, а не на принципі підпорядкованості України зовнішнім впливам. У більшості випадків залучення зовнішніх джерел фінансування є найменш простим способом розв’язання проблем, але з усіма негативними наслідками.</w:t>
      </w: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>Закріплення України як об’єкта, а не як суб’єкта міжнародних політичних та економічних відносин не дозволяє з повною адекватністю реагувати на негативні зовнішні впливи та створювати можливості для їх мінімізації.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794F5E">
        <w:rPr>
          <w:rFonts w:ascii="Arial" w:hAnsi="Arial" w:cs="Arial"/>
          <w:b/>
          <w:bCs/>
          <w:spacing w:val="-6"/>
        </w:rPr>
        <w:t>Мокій, А. I. Теоретико-методологічні засади безпеки споживання в контексті інклюзивної моделі регіонального розвитку</w:t>
      </w:r>
      <w:r w:rsidRPr="00794F5E">
        <w:rPr>
          <w:rFonts w:ascii="Arial" w:hAnsi="Arial" w:cs="Arial"/>
          <w:bCs/>
          <w:spacing w:val="-6"/>
        </w:rPr>
        <w:t xml:space="preserve"> / А. I. Мокій, К. І. Антонюк, Д. А. Антонюк // Економіка України. – 2020. – № 7. – С. 74</w:t>
      </w:r>
      <w:r>
        <w:rPr>
          <w:rFonts w:ascii="Arial" w:hAnsi="Arial" w:cs="Arial"/>
          <w:bCs/>
          <w:spacing w:val="-6"/>
        </w:rPr>
        <w:t>-</w:t>
      </w:r>
      <w:r w:rsidRPr="00794F5E">
        <w:rPr>
          <w:rFonts w:ascii="Arial" w:hAnsi="Arial" w:cs="Arial"/>
          <w:bCs/>
          <w:spacing w:val="-6"/>
        </w:rPr>
        <w:t>87.</w:t>
      </w: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 xml:space="preserve">На основі дослідження системних та процесних характеристик і структурної будови категорії «безпека споживання» запропоновано розглядати її як спроможність держави, підприємництва, суспільства створювати умови усвідомленого задоволення індивідуумом (людиною) потреб самовідтворення із забезпеченням здоров’я, збереженням навколишнього </w:t>
      </w:r>
      <w:proofErr w:type="spellStart"/>
      <w:r w:rsidRPr="00B23220">
        <w:rPr>
          <w:rFonts w:ascii="Arial" w:hAnsi="Arial" w:cs="Arial"/>
          <w:bCs/>
          <w:spacing w:val="-6"/>
        </w:rPr>
        <w:t>середовищаі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розвитком суспільства в теперішньому та майбутніх періодах. Встановлено методологічні відмінності трактування цієї категорії для товарів або послуг, засновані на отриманих вигодах для споживачів у їхніх функціональних, раціональних, емоціональних характеристиках. Доведено, що забезпечення безпеки споживання потребує використання поведінкового підходу і врахування впливу на навколишнє середовище на всіх етапах споживання (виробництва, безпосередньо споживання, утилізації продукції). З позиції процесного підходу ідентифіковано об’єкти, суб’єкти безпеки споживання, побудовано суб’єктно-об’єктну інклюзивну модель системи безпеки споживання; запропоновано </w:t>
      </w:r>
      <w:proofErr w:type="spellStart"/>
      <w:r w:rsidRPr="00B23220">
        <w:rPr>
          <w:rFonts w:ascii="Arial" w:hAnsi="Arial" w:cs="Arial"/>
          <w:bCs/>
          <w:spacing w:val="-6"/>
        </w:rPr>
        <w:t>типологізацію</w:t>
      </w:r>
      <w:proofErr w:type="spellEnd"/>
      <w:r w:rsidRPr="00B23220">
        <w:rPr>
          <w:rFonts w:ascii="Arial" w:hAnsi="Arial" w:cs="Arial"/>
          <w:bCs/>
          <w:spacing w:val="-6"/>
        </w:rPr>
        <w:t xml:space="preserve"> безпеки споживання; встановлено особливості загроз і стратегії забезпечення безпеки споживання; виявлено дуалістичний суб’єктно-об’єктний характер безпеки споживання. Показано, що безпека споживання є складною </w:t>
      </w:r>
      <w:proofErr w:type="spellStart"/>
      <w:r w:rsidRPr="00B23220">
        <w:rPr>
          <w:rFonts w:ascii="Arial" w:hAnsi="Arial" w:cs="Arial"/>
          <w:bCs/>
          <w:spacing w:val="-6"/>
        </w:rPr>
        <w:t>багатооб’єктною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та суб’єктною системою, забезпечення дії якої </w:t>
      </w:r>
      <w:proofErr w:type="spellStart"/>
      <w:r w:rsidRPr="00B23220">
        <w:rPr>
          <w:rFonts w:ascii="Arial" w:hAnsi="Arial" w:cs="Arial"/>
          <w:bCs/>
          <w:spacing w:val="-6"/>
        </w:rPr>
        <w:t>ускладнюється</w:t>
      </w:r>
      <w:proofErr w:type="spellEnd"/>
      <w:r w:rsidRPr="00B23220">
        <w:rPr>
          <w:rFonts w:ascii="Arial" w:hAnsi="Arial" w:cs="Arial"/>
          <w:bCs/>
          <w:spacing w:val="-6"/>
        </w:rPr>
        <w:t xml:space="preserve"> впливом різного виду загроз, а також динамічністю як самого процесу, так і його складників. Розуміючи безпеку споживання не як наслідок, а як складний структурний процес, запропоновано досліджувати його на основі діаграм циклічної причинності з побудовою балансувальних і </w:t>
      </w:r>
      <w:proofErr w:type="spellStart"/>
      <w:r w:rsidRPr="00B23220">
        <w:rPr>
          <w:rFonts w:ascii="Arial" w:hAnsi="Arial" w:cs="Arial"/>
          <w:bCs/>
          <w:spacing w:val="-6"/>
        </w:rPr>
        <w:t>посилювальних</w:t>
      </w:r>
      <w:proofErr w:type="spellEnd"/>
      <w:r w:rsidRPr="00B23220">
        <w:rPr>
          <w:rFonts w:ascii="Arial" w:hAnsi="Arial" w:cs="Arial"/>
          <w:bCs/>
          <w:spacing w:val="-6"/>
        </w:rPr>
        <w:t xml:space="preserve"> контурів для дійсного і бажаного рівнів споживання, виробництва та продажу, впливу на навколишнє середовище. Обґрунтовані теоретичні й методологічні засади дослідження безпеки споживання доцільно використовувати для динамічного моделювання причинно-наслідкових </w:t>
      </w:r>
      <w:proofErr w:type="spellStart"/>
      <w:r w:rsidRPr="00B23220">
        <w:rPr>
          <w:rFonts w:ascii="Arial" w:hAnsi="Arial" w:cs="Arial"/>
          <w:bCs/>
          <w:spacing w:val="-6"/>
        </w:rPr>
        <w:t>зв’язків</w:t>
      </w:r>
      <w:proofErr w:type="spellEnd"/>
      <w:r w:rsidRPr="00B23220">
        <w:rPr>
          <w:rFonts w:ascii="Arial" w:hAnsi="Arial" w:cs="Arial"/>
          <w:bCs/>
          <w:spacing w:val="-6"/>
        </w:rPr>
        <w:t xml:space="preserve"> між об’єктами системи безпеки споживання, визначення відповідних критеріїв та чинників прийняття рішень, їх особливостей для різних галузей і секторів економіки регіонів України.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proofErr w:type="spellStart"/>
      <w:r w:rsidRPr="00794F5E">
        <w:rPr>
          <w:rFonts w:ascii="Arial" w:hAnsi="Arial" w:cs="Arial"/>
          <w:b/>
          <w:bCs/>
          <w:spacing w:val="-6"/>
        </w:rPr>
        <w:t>Піляєв</w:t>
      </w:r>
      <w:proofErr w:type="spellEnd"/>
      <w:r w:rsidRPr="00794F5E">
        <w:rPr>
          <w:rFonts w:ascii="Arial" w:hAnsi="Arial" w:cs="Arial"/>
          <w:b/>
          <w:bCs/>
          <w:spacing w:val="-6"/>
        </w:rPr>
        <w:t>, І. С. Азійський банк інфраструктурних інвестицій: роль і тренди впливу на міжнародну фінансову систему</w:t>
      </w:r>
      <w:r w:rsidRPr="00794F5E">
        <w:rPr>
          <w:rFonts w:ascii="Arial" w:hAnsi="Arial" w:cs="Arial"/>
          <w:bCs/>
          <w:spacing w:val="-6"/>
        </w:rPr>
        <w:t xml:space="preserve"> / І. С. </w:t>
      </w:r>
      <w:proofErr w:type="spellStart"/>
      <w:r w:rsidRPr="00794F5E">
        <w:rPr>
          <w:rFonts w:ascii="Arial" w:hAnsi="Arial" w:cs="Arial"/>
          <w:bCs/>
          <w:spacing w:val="-6"/>
        </w:rPr>
        <w:t>Піляєв</w:t>
      </w:r>
      <w:proofErr w:type="spellEnd"/>
      <w:r w:rsidRPr="00794F5E">
        <w:rPr>
          <w:rFonts w:ascii="Arial" w:hAnsi="Arial" w:cs="Arial"/>
          <w:bCs/>
          <w:spacing w:val="-6"/>
        </w:rPr>
        <w:t xml:space="preserve"> // Економіка України. – 2020. – № 7. – С. 88</w:t>
      </w:r>
      <w:r>
        <w:rPr>
          <w:rFonts w:ascii="Arial" w:hAnsi="Arial" w:cs="Arial"/>
          <w:bCs/>
          <w:spacing w:val="-6"/>
        </w:rPr>
        <w:t>-</w:t>
      </w:r>
      <w:r w:rsidRPr="00794F5E">
        <w:rPr>
          <w:rFonts w:ascii="Arial" w:hAnsi="Arial" w:cs="Arial"/>
          <w:bCs/>
          <w:spacing w:val="-6"/>
        </w:rPr>
        <w:t>107.</w:t>
      </w: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 xml:space="preserve">Досліджено роль Азійського банку інфраструктурних інвестицій (АБІІ) в системі міжнародних фінансових відносин, визначено стан і тренди його впливу на інституціонально-структурну трансформацію регіонального та глобального лідерства. Застосовано </w:t>
      </w:r>
      <w:proofErr w:type="spellStart"/>
      <w:r w:rsidRPr="00B23220">
        <w:rPr>
          <w:rFonts w:ascii="Arial" w:hAnsi="Arial" w:cs="Arial"/>
          <w:bCs/>
          <w:spacing w:val="-6"/>
        </w:rPr>
        <w:t>міждициплінарно</w:t>
      </w:r>
      <w:proofErr w:type="spellEnd"/>
      <w:r w:rsidRPr="00B23220">
        <w:rPr>
          <w:rFonts w:ascii="Arial" w:hAnsi="Arial" w:cs="Arial"/>
          <w:bCs/>
          <w:spacing w:val="-6"/>
        </w:rPr>
        <w:t xml:space="preserve">-синергетичний підхід, що поєднує останні досягнення поличної економії, теорії міжнародних відносин, </w:t>
      </w:r>
      <w:proofErr w:type="spellStart"/>
      <w:r w:rsidRPr="00B23220">
        <w:rPr>
          <w:rFonts w:ascii="Arial" w:hAnsi="Arial" w:cs="Arial"/>
          <w:bCs/>
          <w:spacing w:val="-6"/>
        </w:rPr>
        <w:t>глобалістики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і </w:t>
      </w:r>
      <w:proofErr w:type="spellStart"/>
      <w:r w:rsidRPr="00B23220">
        <w:rPr>
          <w:rFonts w:ascii="Arial" w:hAnsi="Arial" w:cs="Arial"/>
          <w:bCs/>
          <w:spacing w:val="-6"/>
        </w:rPr>
        <w:t>транзитології</w:t>
      </w:r>
      <w:proofErr w:type="spellEnd"/>
      <w:r w:rsidRPr="00B23220">
        <w:rPr>
          <w:rFonts w:ascii="Arial" w:hAnsi="Arial" w:cs="Arial"/>
          <w:bCs/>
          <w:spacing w:val="-6"/>
        </w:rPr>
        <w:t xml:space="preserve">. Проаналізовано процеси реструктуризації міжнародної фінансової системи в контексті зміцнення лідерських позицій Китаю, посилення ролі </w:t>
      </w:r>
      <w:proofErr w:type="spellStart"/>
      <w:r w:rsidRPr="00B23220">
        <w:rPr>
          <w:rFonts w:ascii="Arial" w:hAnsi="Arial" w:cs="Arial"/>
          <w:bCs/>
          <w:spacing w:val="-6"/>
        </w:rPr>
        <w:t>Східноазійського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регіону у світовій економіці та політиці. Уперше у вітчизняній літературі системно досліджено причини створення, роль і вплив АБІІ на сучасні процеси регіоналізації та глобалізації. За допомогою компаративного аналізу визначено переваги та недоліки новоствореного банку розвитку порівняно з Азійським банком розвитку та іншими міжнародними фінансовими інституціями. Розкрито особливості механізму прийняття рішень в АБІІ, зокрема щодо кредитування інфраструктурних проектів, у контексті впливів на політику банку з боку держав-членів, міжнародних фінансових та неурядових організацій. Доведено, що АБІІ за своєю природою, стратегією, складом членства, напрямами й обсягами діяльності є міждержавною багатосторонньою фінансовою інституцією не регіонального, а глобального характеру і, по суті, інституційним «вістрям» реалізації стратегічної геоекономічної ініціативи Китаю «Один пояс, один шлях». Зроблено висновок про практичну готовність АБІІ до фінансування </w:t>
      </w:r>
      <w:proofErr w:type="spellStart"/>
      <w:r w:rsidRPr="00B23220">
        <w:rPr>
          <w:rFonts w:ascii="Arial" w:hAnsi="Arial" w:cs="Arial"/>
          <w:bCs/>
          <w:spacing w:val="-6"/>
        </w:rPr>
        <w:t>проєктів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розвитку </w:t>
      </w:r>
      <w:proofErr w:type="spellStart"/>
      <w:r w:rsidRPr="00B23220">
        <w:rPr>
          <w:rFonts w:ascii="Arial" w:hAnsi="Arial" w:cs="Arial"/>
          <w:bCs/>
          <w:spacing w:val="-6"/>
        </w:rPr>
        <w:t>об?єктів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трансконтинентальної транспортної та логістичної інфраструктури в країнах Центральної та Східної Європи, включаючи Україну, що актуалізує питання доцільності майбутнього вступу нашої держави до АБІІ. Обґрунтовано доцільність поєднання фінансового співробітництва України із Світовим банком з інституційною та </w:t>
      </w:r>
      <w:proofErr w:type="spellStart"/>
      <w:r w:rsidRPr="00B23220">
        <w:rPr>
          <w:rFonts w:ascii="Arial" w:hAnsi="Arial" w:cs="Arial"/>
          <w:bCs/>
          <w:spacing w:val="-6"/>
        </w:rPr>
        <w:t>проєктною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участю в АБІІ.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794F5E">
        <w:rPr>
          <w:rFonts w:ascii="Arial" w:hAnsi="Arial" w:cs="Arial"/>
          <w:b/>
          <w:bCs/>
          <w:spacing w:val="-6"/>
        </w:rPr>
        <w:t>Панфілова, Т. О. Конвергенція та дивергенція сфери державних фінансів країн - членів ЄС і України</w:t>
      </w:r>
      <w:r w:rsidRPr="00794F5E">
        <w:rPr>
          <w:rFonts w:ascii="Arial" w:hAnsi="Arial" w:cs="Arial"/>
          <w:bCs/>
          <w:spacing w:val="-6"/>
        </w:rPr>
        <w:t xml:space="preserve"> / Т. О. Панфілова // Економіка України. – 2020. – № 7. – С. 108</w:t>
      </w:r>
      <w:r>
        <w:rPr>
          <w:rFonts w:ascii="Arial" w:hAnsi="Arial" w:cs="Arial"/>
          <w:bCs/>
          <w:spacing w:val="-6"/>
        </w:rPr>
        <w:t>-</w:t>
      </w:r>
      <w:r w:rsidRPr="00794F5E">
        <w:rPr>
          <w:rFonts w:ascii="Arial" w:hAnsi="Arial" w:cs="Arial"/>
          <w:bCs/>
          <w:spacing w:val="-6"/>
        </w:rPr>
        <w:t>120.</w:t>
      </w:r>
    </w:p>
    <w:p w:rsidR="007066E0" w:rsidRPr="00B2322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lastRenderedPageBreak/>
        <w:t xml:space="preserve">Стратегічний курс України на євроінтеграцію вимагає ретельного аналізу та виокремлення пріоритетних напрямів подолання розриву в рівнях соціально-економічного розвитку з країнами –– членами ЄС. Концептуальні засади теорії конвергенції дозволяють досліджувати </w:t>
      </w:r>
      <w:proofErr w:type="spellStart"/>
      <w:r w:rsidRPr="00B23220">
        <w:rPr>
          <w:rFonts w:ascii="Arial" w:hAnsi="Arial" w:cs="Arial"/>
          <w:bCs/>
          <w:spacing w:val="-6"/>
        </w:rPr>
        <w:t>ключoві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сфери людської діяльності. Серед ключових секторів соціально-економічного розвитку будь-якої держави або інтеграційного </w:t>
      </w:r>
      <w:proofErr w:type="spellStart"/>
      <w:r w:rsidRPr="00B23220">
        <w:rPr>
          <w:rFonts w:ascii="Arial" w:hAnsi="Arial" w:cs="Arial"/>
          <w:bCs/>
          <w:spacing w:val="-6"/>
        </w:rPr>
        <w:t>угруповування</w:t>
      </w:r>
      <w:proofErr w:type="spellEnd"/>
      <w:r w:rsidRPr="00B23220">
        <w:rPr>
          <w:rFonts w:ascii="Arial" w:hAnsi="Arial" w:cs="Arial"/>
          <w:bCs/>
          <w:spacing w:val="-6"/>
        </w:rPr>
        <w:t>, безумовно, є сфера державних фінансів. Адже від здатності органів управління створювати ефективну систему формування та розподілу коштів державного бюджету залежать стабільність фінансової системи країни і добробут населення.</w:t>
      </w:r>
    </w:p>
    <w:p w:rsidR="007066E0" w:rsidRPr="00B2322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 xml:space="preserve">Основні засади конвергенції країн –– членів </w:t>
      </w:r>
      <w:proofErr w:type="spellStart"/>
      <w:r w:rsidRPr="00B23220">
        <w:rPr>
          <w:rFonts w:ascii="Arial" w:hAnsi="Arial" w:cs="Arial"/>
          <w:bCs/>
          <w:spacing w:val="-6"/>
        </w:rPr>
        <w:t>єврозони</w:t>
      </w:r>
      <w:proofErr w:type="spellEnd"/>
      <w:r w:rsidRPr="00B23220">
        <w:rPr>
          <w:rFonts w:ascii="Arial" w:hAnsi="Arial" w:cs="Arial"/>
          <w:bCs/>
          <w:spacing w:val="-6"/>
        </w:rPr>
        <w:t xml:space="preserve"> та ЄС у цілому визначаються Маастрихтськими критеріями щодо межі величин основних макрофінансових показників, а механізм реалізації конвергентності регламентується відповідними нормативними актами наднаціонального характеру. Основою механізму фінансової підтримки країн –– членів ЄС у контексті конвергенції є загальний бюджет ЄС та спеціальні структурні фонди, які є його складовими.</w:t>
      </w:r>
    </w:p>
    <w:p w:rsidR="007066E0" w:rsidRPr="00B2322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>Динаміка основних макрофінансових показників країн –– членів ЄС протягом 2000––2019 рр. дозволила визначити посилення дивергенції у періоди розгортання глобальних і регіональних криз фінансового характеру. Передусім це стосується дефіциту державного бюджету та співвідношення державного боргу і ВВП.</w:t>
      </w:r>
    </w:p>
    <w:p w:rsidR="007066E0" w:rsidRPr="00B2322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>У найближчій перспективі серед ризиків поглиблення кризових явищ і дивергенції у сфері державних фінансів як у країнах ЄС, так і в Україні передбачається розбалансування, з огляду на розгортання новітньої глобальної кризи, державних бюджетів унаслідок зниження податкових надходжень і зростання витрат на соціальне забезпечення громадян, підтримку підприємств реального сектору економіки тощо. Актуалізується ризик дефолтів по зобов’язаннях держави і компаній корпоративного сектору економіки.</w:t>
      </w: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>Чинний в ЄС механізм подолання кризових явищ –– Європейський механізм стабільності –– дозволить пом’якшити негативний вплив новітньої кризи. Україна ж протягом останніх років не змогла реформувати сферу державних фінансів, отже, зазнає значного «удару» по сектору державних фінансів.</w:t>
      </w:r>
    </w:p>
    <w:p w:rsidR="007066E0" w:rsidRPr="00794F5E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proofErr w:type="spellStart"/>
      <w:r w:rsidRPr="00794F5E">
        <w:rPr>
          <w:rFonts w:ascii="Arial" w:hAnsi="Arial" w:cs="Arial"/>
          <w:b/>
          <w:bCs/>
          <w:spacing w:val="-6"/>
        </w:rPr>
        <w:t>Редзюк</w:t>
      </w:r>
      <w:proofErr w:type="spellEnd"/>
      <w:r w:rsidRPr="00794F5E">
        <w:rPr>
          <w:rFonts w:ascii="Arial" w:hAnsi="Arial" w:cs="Arial"/>
          <w:b/>
          <w:bCs/>
          <w:spacing w:val="-6"/>
        </w:rPr>
        <w:t>, Є. В. Інструменти фондового ринку як фактор оптимізації системи управління державним боргом</w:t>
      </w:r>
      <w:r w:rsidRPr="00794F5E">
        <w:rPr>
          <w:rFonts w:ascii="Arial" w:hAnsi="Arial" w:cs="Arial"/>
          <w:bCs/>
          <w:spacing w:val="-6"/>
        </w:rPr>
        <w:t xml:space="preserve"> / Є. В. </w:t>
      </w:r>
      <w:proofErr w:type="spellStart"/>
      <w:r w:rsidRPr="00794F5E">
        <w:rPr>
          <w:rFonts w:ascii="Arial" w:hAnsi="Arial" w:cs="Arial"/>
          <w:bCs/>
          <w:spacing w:val="-6"/>
        </w:rPr>
        <w:t>Редзюк</w:t>
      </w:r>
      <w:proofErr w:type="spellEnd"/>
      <w:r w:rsidRPr="00794F5E">
        <w:rPr>
          <w:rFonts w:ascii="Arial" w:hAnsi="Arial" w:cs="Arial"/>
          <w:bCs/>
          <w:spacing w:val="-6"/>
        </w:rPr>
        <w:t xml:space="preserve"> // </w:t>
      </w:r>
      <w:bookmarkStart w:id="0" w:name="_GoBack"/>
      <w:r w:rsidRPr="00794F5E">
        <w:rPr>
          <w:rFonts w:ascii="Arial" w:hAnsi="Arial" w:cs="Arial"/>
          <w:bCs/>
          <w:spacing w:val="-6"/>
        </w:rPr>
        <w:t>Економіка України. – 2020. – № 7.</w:t>
      </w:r>
      <w:bookmarkEnd w:id="0"/>
      <w:r w:rsidRPr="00794F5E">
        <w:rPr>
          <w:rFonts w:ascii="Arial" w:hAnsi="Arial" w:cs="Arial"/>
          <w:bCs/>
          <w:spacing w:val="-6"/>
        </w:rPr>
        <w:t xml:space="preserve"> – С. 121</w:t>
      </w:r>
      <w:r>
        <w:rPr>
          <w:rFonts w:ascii="Arial" w:hAnsi="Arial" w:cs="Arial"/>
          <w:bCs/>
          <w:spacing w:val="-6"/>
        </w:rPr>
        <w:t>-</w:t>
      </w:r>
      <w:r w:rsidRPr="00794F5E">
        <w:rPr>
          <w:rFonts w:ascii="Arial" w:hAnsi="Arial" w:cs="Arial"/>
          <w:bCs/>
          <w:spacing w:val="-6"/>
        </w:rPr>
        <w:t>130.</w:t>
      </w:r>
    </w:p>
    <w:p w:rsidR="007066E0" w:rsidRDefault="007066E0" w:rsidP="007066E0">
      <w:pPr>
        <w:ind w:firstLine="284"/>
        <w:jc w:val="both"/>
        <w:rPr>
          <w:rFonts w:ascii="Arial" w:hAnsi="Arial" w:cs="Arial"/>
          <w:bCs/>
          <w:spacing w:val="-6"/>
        </w:rPr>
      </w:pPr>
      <w:r w:rsidRPr="00B23220">
        <w:rPr>
          <w:rFonts w:ascii="Arial" w:hAnsi="Arial" w:cs="Arial"/>
          <w:bCs/>
          <w:spacing w:val="-6"/>
        </w:rPr>
        <w:t xml:space="preserve">В Україні недоліки в управлінні державним боргом значною мірою пов’язані з неузгодженістю між різними органами влади (Урядом, Міністерством фінансів України, НБУ, Бюджетним комітетом Верховної Ради України), а також з недостатнім розвитком ринку цінних паперів, зокрема державних цінних паперів. Аналіз сучасних параметрів вітчизняного фондового ринку показав, що вони не відповідають аналогічним світовим показникам. Серед найбільш разючих </w:t>
      </w:r>
      <w:proofErr w:type="spellStart"/>
      <w:r w:rsidRPr="00B23220">
        <w:rPr>
          <w:rFonts w:ascii="Arial" w:hAnsi="Arial" w:cs="Arial"/>
          <w:bCs/>
          <w:spacing w:val="-6"/>
        </w:rPr>
        <w:t>невідповідностей</w:t>
      </w:r>
      <w:proofErr w:type="spellEnd"/>
      <w:r w:rsidRPr="00B23220">
        <w:rPr>
          <w:rFonts w:ascii="Arial" w:hAnsi="Arial" w:cs="Arial"/>
          <w:bCs/>
          <w:spacing w:val="-6"/>
        </w:rPr>
        <w:t xml:space="preserve"> виявлено: недостатньо розвинутий ринок корпоративних облігацій та акцій; наявність значного позабіржового сегменту торгівлі на фондовому ринку; відсутність єдиного центрального депозитарію та центру ліквідності й торгівлі цінними паперами (Національний депозитарій України, розрахунковий центр, депозитарій НБУ та 4––10 діючих фондових бірж в Україні); </w:t>
      </w:r>
      <w:proofErr w:type="spellStart"/>
      <w:r w:rsidRPr="00B23220">
        <w:rPr>
          <w:rFonts w:ascii="Arial" w:hAnsi="Arial" w:cs="Arial"/>
          <w:bCs/>
          <w:spacing w:val="-6"/>
        </w:rPr>
        <w:t>нерозвинутість</w:t>
      </w:r>
      <w:proofErr w:type="spellEnd"/>
      <w:r w:rsidRPr="00B23220">
        <w:rPr>
          <w:rFonts w:ascii="Arial" w:hAnsi="Arial" w:cs="Arial"/>
          <w:bCs/>
          <w:spacing w:val="-6"/>
        </w:rPr>
        <w:t xml:space="preserve"> вітчизняного ринку деривативів; недостатню прозорість, функціональність, інформативність, цінову адекватність українського фондового ринку; в цілому низьку ліквідність ринку цінних паперів України. При цьому у світовій практиці сучасні держави активно використовують такі боргові інструменти фондового ринку: 1) строкові процентні державні облігації від 3 місяців до 30 років (</w:t>
      </w:r>
      <w:proofErr w:type="spellStart"/>
      <w:r w:rsidRPr="00B23220">
        <w:rPr>
          <w:rFonts w:ascii="Arial" w:hAnsi="Arial" w:cs="Arial"/>
          <w:bCs/>
          <w:spacing w:val="-6"/>
        </w:rPr>
        <w:t>bonds</w:t>
      </w:r>
      <w:proofErr w:type="spellEnd"/>
      <w:r w:rsidRPr="00B23220">
        <w:rPr>
          <w:rFonts w:ascii="Arial" w:hAnsi="Arial" w:cs="Arial"/>
          <w:bCs/>
          <w:spacing w:val="-6"/>
        </w:rPr>
        <w:t>); 2) безінфляційні цінні папери (</w:t>
      </w:r>
      <w:proofErr w:type="spellStart"/>
      <w:r w:rsidRPr="00B23220">
        <w:rPr>
          <w:rFonts w:ascii="Arial" w:hAnsi="Arial" w:cs="Arial"/>
          <w:bCs/>
          <w:spacing w:val="-6"/>
        </w:rPr>
        <w:t>Treasury</w:t>
      </w:r>
      <w:proofErr w:type="spellEnd"/>
      <w:r w:rsidRPr="00B23220">
        <w:rPr>
          <w:rFonts w:ascii="Arial" w:hAnsi="Arial" w:cs="Arial"/>
          <w:bCs/>
          <w:spacing w:val="-6"/>
        </w:rPr>
        <w:t xml:space="preserve"> </w:t>
      </w:r>
      <w:proofErr w:type="spellStart"/>
      <w:r w:rsidRPr="00B23220">
        <w:rPr>
          <w:rFonts w:ascii="Arial" w:hAnsi="Arial" w:cs="Arial"/>
          <w:bCs/>
          <w:spacing w:val="-6"/>
        </w:rPr>
        <w:t>Inflation-Protected</w:t>
      </w:r>
      <w:proofErr w:type="spellEnd"/>
      <w:r w:rsidRPr="00B23220">
        <w:rPr>
          <w:rFonts w:ascii="Arial" w:hAnsi="Arial" w:cs="Arial"/>
          <w:bCs/>
          <w:spacing w:val="-6"/>
        </w:rPr>
        <w:t xml:space="preserve"> </w:t>
      </w:r>
      <w:proofErr w:type="spellStart"/>
      <w:r w:rsidRPr="00B23220">
        <w:rPr>
          <w:rFonts w:ascii="Arial" w:hAnsi="Arial" w:cs="Arial"/>
          <w:bCs/>
          <w:spacing w:val="-6"/>
        </w:rPr>
        <w:t>Securities</w:t>
      </w:r>
      <w:proofErr w:type="spellEnd"/>
      <w:r w:rsidRPr="00B23220">
        <w:rPr>
          <w:rFonts w:ascii="Arial" w:hAnsi="Arial" w:cs="Arial"/>
          <w:bCs/>
          <w:spacing w:val="-6"/>
        </w:rPr>
        <w:t>); 3) інфраструктурні облігації держави та муніципалітетів; 4) спеціалізовані облігації та кредитні програми для банків і фінансових компаній, що знижують процентні ставки для бізнес-структур. Запровадження цих інструментів фондового ринку в Україні може суттєво покращити рівень управління державним боргом, а також знизити ризики розгортання повномасштабної фінансово-економічної кризи. Особливо ефективним є їх комплексне поєднання з іншими заходами: дотриманням дисципліни середньо- і довгострокової стратегії зниження боргового навантаження до безпечного рівня, а також при впровадженні соціально- і бізнес-орієнтованої моделі довго- і середньострокової системи управління державним боргом України.</w:t>
      </w:r>
    </w:p>
    <w:p w:rsidR="007066E0" w:rsidRDefault="007066E0" w:rsidP="007066E0">
      <w:pPr>
        <w:ind w:firstLine="284"/>
        <w:jc w:val="center"/>
        <w:rPr>
          <w:rFonts w:ascii="Arial" w:hAnsi="Arial" w:cs="Arial"/>
          <w:b/>
          <w:bCs/>
          <w:i/>
          <w:spacing w:val="-6"/>
        </w:rPr>
      </w:pPr>
    </w:p>
    <w:sectPr w:rsidR="0070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92"/>
    <w:rsid w:val="001D7A92"/>
    <w:rsid w:val="00463718"/>
    <w:rsid w:val="007066E0"/>
    <w:rsid w:val="00B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5C12-9DB2-49F2-AC56-984DBF36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3105</Words>
  <Characters>17700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2020-11-17T19:51:00Z</dcterms:created>
  <dcterms:modified xsi:type="dcterms:W3CDTF">2020-11-17T19:54:00Z</dcterms:modified>
</cp:coreProperties>
</file>