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3C" w:rsidRPr="007C0823" w:rsidRDefault="0077673C" w:rsidP="0077673C">
      <w:pPr>
        <w:ind w:firstLine="284"/>
        <w:jc w:val="center"/>
        <w:rPr>
          <w:rFonts w:ascii="Arial" w:hAnsi="Arial" w:cs="Arial"/>
          <w:b/>
          <w:bCs/>
          <w:i/>
        </w:rPr>
      </w:pPr>
      <w:r w:rsidRPr="007C0823">
        <w:rPr>
          <w:rFonts w:ascii="Arial" w:hAnsi="Arial" w:cs="Arial"/>
          <w:b/>
          <w:bCs/>
          <w:i/>
        </w:rPr>
        <w:t>Економіка України. – 2020. – № 6.</w:t>
      </w:r>
    </w:p>
    <w:p w:rsidR="0077673C" w:rsidRDefault="0077673C" w:rsidP="0077673C">
      <w:pPr>
        <w:ind w:firstLine="284"/>
        <w:jc w:val="center"/>
        <w:rPr>
          <w:rFonts w:ascii="Arial" w:hAnsi="Arial" w:cs="Arial"/>
          <w:bCs/>
        </w:rPr>
      </w:pPr>
    </w:p>
    <w:p w:rsidR="0077673C" w:rsidRDefault="0077673C" w:rsidP="0077673C">
      <w:pPr>
        <w:ind w:firstLine="284"/>
        <w:jc w:val="both"/>
        <w:rPr>
          <w:rFonts w:ascii="Arial" w:hAnsi="Arial" w:cs="Arial"/>
          <w:bCs/>
          <w:spacing w:val="-6"/>
        </w:rPr>
      </w:pPr>
      <w:r w:rsidRPr="007C0823">
        <w:rPr>
          <w:rFonts w:ascii="Arial" w:hAnsi="Arial" w:cs="Arial"/>
          <w:b/>
          <w:bCs/>
          <w:spacing w:val="-6"/>
        </w:rPr>
        <w:t>Данилишин, Б. М. Модернізація монетарної політики України в контексті стабілізації економіки та посткризового зростання</w:t>
      </w:r>
      <w:r w:rsidRPr="0068433D">
        <w:rPr>
          <w:rFonts w:ascii="Arial" w:hAnsi="Arial" w:cs="Arial"/>
          <w:bCs/>
          <w:spacing w:val="-6"/>
        </w:rPr>
        <w:t xml:space="preserve"> </w:t>
      </w:r>
      <w:r>
        <w:rPr>
          <w:rFonts w:ascii="Arial" w:hAnsi="Arial" w:cs="Arial"/>
          <w:bCs/>
          <w:spacing w:val="-6"/>
        </w:rPr>
        <w:t>/ Б. М. </w:t>
      </w:r>
      <w:r w:rsidRPr="0068433D">
        <w:rPr>
          <w:rFonts w:ascii="Arial" w:hAnsi="Arial" w:cs="Arial"/>
          <w:bCs/>
          <w:spacing w:val="-6"/>
        </w:rPr>
        <w:t>Данилишин, І. В. Богдан, Т. П. Богдан // Економіка України. – 2</w:t>
      </w:r>
      <w:r>
        <w:rPr>
          <w:rFonts w:ascii="Arial" w:hAnsi="Arial" w:cs="Arial"/>
          <w:bCs/>
          <w:spacing w:val="-6"/>
        </w:rPr>
        <w:t>020. </w:t>
      </w:r>
      <w:r w:rsidRPr="0068433D">
        <w:rPr>
          <w:rFonts w:ascii="Arial" w:hAnsi="Arial" w:cs="Arial"/>
          <w:bCs/>
          <w:spacing w:val="-6"/>
        </w:rPr>
        <w:t>– № 6. – С. 3</w:t>
      </w:r>
      <w:r>
        <w:rPr>
          <w:rFonts w:ascii="Arial" w:hAnsi="Arial" w:cs="Arial"/>
          <w:bCs/>
          <w:spacing w:val="-6"/>
        </w:rPr>
        <w:t>-</w:t>
      </w:r>
      <w:r w:rsidRPr="0068433D">
        <w:rPr>
          <w:rFonts w:ascii="Arial" w:hAnsi="Arial" w:cs="Arial"/>
          <w:bCs/>
          <w:spacing w:val="-6"/>
        </w:rPr>
        <w:t>19.</w:t>
      </w:r>
    </w:p>
    <w:p w:rsidR="0077673C" w:rsidRDefault="0077673C" w:rsidP="0077673C">
      <w:pPr>
        <w:ind w:firstLine="284"/>
        <w:jc w:val="both"/>
        <w:rPr>
          <w:rFonts w:ascii="Arial" w:hAnsi="Arial" w:cs="Arial"/>
          <w:bCs/>
          <w:spacing w:val="-6"/>
        </w:rPr>
      </w:pPr>
      <w:r w:rsidRPr="007C0823">
        <w:rPr>
          <w:rFonts w:ascii="Arial" w:hAnsi="Arial" w:cs="Arial"/>
          <w:bCs/>
          <w:spacing w:val="-6"/>
        </w:rPr>
        <w:t xml:space="preserve">Розглянуто проблеми модернізації монетарної політики в контексті формування її середньострокових пріоритетів та реагування на кризові явища. Особливу увагу приділено питанням мандата центрального банку та цільових орієнтирів його політики. Запропоновано інструментарій та оцінено ступінь жорсткості монетарних умов (RMCI) в Україні. На основі </w:t>
      </w:r>
      <w:proofErr w:type="spellStart"/>
      <w:r w:rsidRPr="007C0823">
        <w:rPr>
          <w:rFonts w:ascii="Arial" w:hAnsi="Arial" w:cs="Arial"/>
          <w:bCs/>
          <w:spacing w:val="-6"/>
        </w:rPr>
        <w:t>міжкраїнових</w:t>
      </w:r>
      <w:proofErr w:type="spellEnd"/>
      <w:r w:rsidRPr="007C0823">
        <w:rPr>
          <w:rFonts w:ascii="Arial" w:hAnsi="Arial" w:cs="Arial"/>
          <w:bCs/>
          <w:spacing w:val="-6"/>
        </w:rPr>
        <w:t xml:space="preserve"> порівнянь RMCI зроблено висновок про те, що Україна є лідером серед країн Центральної та Східної Європи за ступенем жорсткості монетарних умов (як за процентною ставкою, так і за обмінним курсом). Виявлено вади в дизайні поточної монетарної політики в Україні, внаслідок яких у період гострої потреби економіки в позичкових коштах у банківській системі акумулюється «надлишкова» ліквідність, що різко контрастує з ситуацією в інших країнах, де центральні банки направляють гігантські ресурси на підтримку ліквідності фінансового та кредитування реального сектору. Проаналізовано модельний інструментарій НБУ і встановлено, що пріоритетність інфляційної цілі для нього є в п’ять разів вищою порівняно з метою економічного зростання. Обґрунтовано висновок про доцільність переходу в Україні від режиму інфляційного </w:t>
      </w:r>
      <w:proofErr w:type="spellStart"/>
      <w:r w:rsidRPr="007C0823">
        <w:rPr>
          <w:rFonts w:ascii="Arial" w:hAnsi="Arial" w:cs="Arial"/>
          <w:bCs/>
          <w:spacing w:val="-6"/>
        </w:rPr>
        <w:t>таргетування</w:t>
      </w:r>
      <w:proofErr w:type="spellEnd"/>
      <w:r w:rsidRPr="007C0823">
        <w:rPr>
          <w:rFonts w:ascii="Arial" w:hAnsi="Arial" w:cs="Arial"/>
          <w:bCs/>
          <w:spacing w:val="-6"/>
        </w:rPr>
        <w:t xml:space="preserve"> до </w:t>
      </w:r>
      <w:proofErr w:type="spellStart"/>
      <w:r w:rsidRPr="007C0823">
        <w:rPr>
          <w:rFonts w:ascii="Arial" w:hAnsi="Arial" w:cs="Arial"/>
          <w:bCs/>
          <w:spacing w:val="-6"/>
        </w:rPr>
        <w:t>таргетування</w:t>
      </w:r>
      <w:proofErr w:type="spellEnd"/>
      <w:r w:rsidRPr="007C0823">
        <w:rPr>
          <w:rFonts w:ascii="Arial" w:hAnsi="Arial" w:cs="Arial"/>
          <w:bCs/>
          <w:spacing w:val="-6"/>
        </w:rPr>
        <w:t xml:space="preserve"> приросту номінального ВВП, що поєднуватиме цільові значення реального ВВП з показниками інфляції. Доведено необхідність переорієнтації монетарної політики НБУ на підтримку реальної економіки та розширення інструментарію монетарної політики в період економічної кризи: 1) довгострокового рефінансування банків за пільговими ставками з цільовою спрямованістю на кредитування реального сектору; 2) проведення операцій відкритого ринку з державними цінними паперами з орієнтацією на підтримку бюджету та недопущення колапсу фінансового ринку; 3) пом’якшення регулятивних вимог до оцінки кредитних ризиків за активними операціями банків для стимулювання їх кредитної активності.</w:t>
      </w:r>
    </w:p>
    <w:p w:rsidR="0077673C" w:rsidRPr="007C0823" w:rsidRDefault="0077673C" w:rsidP="0077673C">
      <w:pPr>
        <w:ind w:firstLine="284"/>
        <w:jc w:val="both"/>
        <w:rPr>
          <w:rFonts w:ascii="Arial" w:hAnsi="Arial" w:cs="Arial"/>
          <w:bCs/>
          <w:spacing w:val="-6"/>
        </w:rPr>
      </w:pPr>
    </w:p>
    <w:p w:rsidR="0077673C" w:rsidRDefault="0077673C" w:rsidP="0077673C">
      <w:pPr>
        <w:ind w:firstLine="284"/>
        <w:jc w:val="both"/>
        <w:rPr>
          <w:rFonts w:ascii="Arial" w:hAnsi="Arial" w:cs="Arial"/>
          <w:bCs/>
          <w:spacing w:val="-6"/>
        </w:rPr>
      </w:pPr>
      <w:proofErr w:type="spellStart"/>
      <w:r w:rsidRPr="007C0823">
        <w:rPr>
          <w:rFonts w:ascii="Arial" w:hAnsi="Arial" w:cs="Arial"/>
          <w:b/>
          <w:bCs/>
          <w:spacing w:val="-6"/>
        </w:rPr>
        <w:t>Суходоля</w:t>
      </w:r>
      <w:proofErr w:type="spellEnd"/>
      <w:r w:rsidRPr="007C0823">
        <w:rPr>
          <w:rFonts w:ascii="Arial" w:hAnsi="Arial" w:cs="Arial"/>
          <w:b/>
          <w:bCs/>
          <w:spacing w:val="-6"/>
        </w:rPr>
        <w:t xml:space="preserve">, О. М. Методологічні засади ідентифікації та </w:t>
      </w:r>
      <w:proofErr w:type="spellStart"/>
      <w:r w:rsidRPr="007C0823">
        <w:rPr>
          <w:rFonts w:ascii="Arial" w:hAnsi="Arial" w:cs="Arial"/>
          <w:b/>
          <w:bCs/>
          <w:spacing w:val="-6"/>
        </w:rPr>
        <w:t>стратегування</w:t>
      </w:r>
      <w:proofErr w:type="spellEnd"/>
      <w:r w:rsidRPr="007C0823">
        <w:rPr>
          <w:rFonts w:ascii="Arial" w:hAnsi="Arial" w:cs="Arial"/>
          <w:b/>
          <w:bCs/>
          <w:spacing w:val="-6"/>
        </w:rPr>
        <w:t xml:space="preserve"> рівня енергетичної безпеки України</w:t>
      </w:r>
      <w:r w:rsidRPr="007C0823">
        <w:rPr>
          <w:rFonts w:ascii="Arial" w:hAnsi="Arial" w:cs="Arial"/>
          <w:bCs/>
          <w:spacing w:val="-6"/>
        </w:rPr>
        <w:t xml:space="preserve"> / О.</w:t>
      </w:r>
      <w:r>
        <w:rPr>
          <w:rFonts w:ascii="Arial" w:hAnsi="Arial" w:cs="Arial"/>
          <w:bCs/>
          <w:spacing w:val="-6"/>
        </w:rPr>
        <w:t xml:space="preserve"> </w:t>
      </w:r>
      <w:r w:rsidRPr="007C0823">
        <w:rPr>
          <w:rFonts w:ascii="Arial" w:hAnsi="Arial" w:cs="Arial"/>
          <w:bCs/>
          <w:spacing w:val="-6"/>
        </w:rPr>
        <w:t xml:space="preserve">М. </w:t>
      </w:r>
      <w:proofErr w:type="spellStart"/>
      <w:r w:rsidRPr="007C0823">
        <w:rPr>
          <w:rFonts w:ascii="Arial" w:hAnsi="Arial" w:cs="Arial"/>
          <w:bCs/>
          <w:spacing w:val="-6"/>
        </w:rPr>
        <w:t>Суходоля</w:t>
      </w:r>
      <w:proofErr w:type="spellEnd"/>
      <w:r w:rsidRPr="007C0823">
        <w:rPr>
          <w:rFonts w:ascii="Arial" w:hAnsi="Arial" w:cs="Arial"/>
          <w:bCs/>
          <w:spacing w:val="-6"/>
        </w:rPr>
        <w:t xml:space="preserve">, Ю. М. </w:t>
      </w:r>
      <w:proofErr w:type="spellStart"/>
      <w:r w:rsidRPr="007C0823">
        <w:rPr>
          <w:rFonts w:ascii="Arial" w:hAnsi="Arial" w:cs="Arial"/>
          <w:bCs/>
          <w:spacing w:val="-6"/>
        </w:rPr>
        <w:t>Харазішвілі</w:t>
      </w:r>
      <w:proofErr w:type="spellEnd"/>
      <w:r w:rsidRPr="007C0823">
        <w:rPr>
          <w:rFonts w:ascii="Arial" w:hAnsi="Arial" w:cs="Arial"/>
          <w:bCs/>
          <w:spacing w:val="-6"/>
        </w:rPr>
        <w:t xml:space="preserve">, Д. Г. </w:t>
      </w:r>
      <w:proofErr w:type="spellStart"/>
      <w:r w:rsidRPr="007C0823">
        <w:rPr>
          <w:rFonts w:ascii="Arial" w:hAnsi="Arial" w:cs="Arial"/>
          <w:bCs/>
          <w:spacing w:val="-6"/>
        </w:rPr>
        <w:t>Бобро</w:t>
      </w:r>
      <w:proofErr w:type="spellEnd"/>
      <w:r w:rsidRPr="007C0823">
        <w:rPr>
          <w:rFonts w:ascii="Arial" w:hAnsi="Arial" w:cs="Arial"/>
          <w:bCs/>
          <w:spacing w:val="-6"/>
        </w:rPr>
        <w:t xml:space="preserve"> // Економі</w:t>
      </w:r>
      <w:r>
        <w:rPr>
          <w:rFonts w:ascii="Arial" w:hAnsi="Arial" w:cs="Arial"/>
          <w:bCs/>
          <w:spacing w:val="-6"/>
        </w:rPr>
        <w:t>ка України. – 2020. – № 6. – С. </w:t>
      </w:r>
      <w:r w:rsidRPr="007C0823">
        <w:rPr>
          <w:rFonts w:ascii="Arial" w:hAnsi="Arial" w:cs="Arial"/>
          <w:bCs/>
          <w:spacing w:val="-6"/>
        </w:rPr>
        <w:t>20</w:t>
      </w:r>
      <w:r>
        <w:rPr>
          <w:rFonts w:ascii="Arial" w:hAnsi="Arial" w:cs="Arial"/>
          <w:bCs/>
          <w:spacing w:val="-6"/>
        </w:rPr>
        <w:t>-</w:t>
      </w:r>
      <w:r w:rsidRPr="007C0823">
        <w:rPr>
          <w:rFonts w:ascii="Arial" w:hAnsi="Arial" w:cs="Arial"/>
          <w:bCs/>
          <w:spacing w:val="-6"/>
        </w:rPr>
        <w:t>42.</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Досліджено проблеми опису енергетичної безпеки як об’єкта управління та вибору набору індикаторів оцінки стану енергетичної безпеки, запропоновано нову модель такого опису на основі застосування системного підходу. Розроблено структурно-функціональну схему національної безпеки України, що визначає місце та роль енергетичної безпеки в забезпеченні фундаментальних національних інтересів –– сталого розвитку національної економіки, громадянського суспільства і держави з метою зростання рівня та якості життя населення, а також державного суверенітету, незалежності та інтеграції України в європейський енергетичний простір тощо.</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 xml:space="preserve">Сформовано методологічні рекомендації щодо формування набору індикаторів оцінки рівня енергетичної безпеки, зокрема, виділення цілісності, структури, функцій, </w:t>
      </w:r>
      <w:proofErr w:type="spellStart"/>
      <w:r w:rsidRPr="007C0823">
        <w:rPr>
          <w:rFonts w:ascii="Arial" w:hAnsi="Arial" w:cs="Arial"/>
          <w:bCs/>
          <w:spacing w:val="-6"/>
        </w:rPr>
        <w:t>зв’язків</w:t>
      </w:r>
      <w:proofErr w:type="spellEnd"/>
      <w:r w:rsidRPr="007C0823">
        <w:rPr>
          <w:rFonts w:ascii="Arial" w:hAnsi="Arial" w:cs="Arial"/>
          <w:bCs/>
          <w:spacing w:val="-6"/>
        </w:rPr>
        <w:t xml:space="preserve">, процесів, матеріалу системи. Розроблено метод визначення індикаторів щодо оцінки стану (як набору індикаторів, що відображають сприйняття цілісної системи ззовні) та спроможності системи до розвитку і реагування на загрози (як набір індикаторів, що відображають функції та процеси життєдіяльності системи). З урахуванням зазначених підходів запропоновано систему індикаторів оцінки рівня енергетичної безпеки за відповідними складовими: ресурсна достатність, економічна доступність, економічна прийнятність, екологічна прийнятність, </w:t>
      </w:r>
      <w:proofErr w:type="spellStart"/>
      <w:r w:rsidRPr="007C0823">
        <w:rPr>
          <w:rFonts w:ascii="Arial" w:hAnsi="Arial" w:cs="Arial"/>
          <w:bCs/>
          <w:spacing w:val="-6"/>
        </w:rPr>
        <w:t>ресурсно</w:t>
      </w:r>
      <w:proofErr w:type="spellEnd"/>
      <w:r w:rsidRPr="007C0823">
        <w:rPr>
          <w:rFonts w:ascii="Arial" w:hAnsi="Arial" w:cs="Arial"/>
          <w:bCs/>
          <w:spacing w:val="-6"/>
        </w:rPr>
        <w:t>-технічне забезпечення, інституційно-організаційне забезпечення, відповідність політиці, відповідність цілям. Виходячи з компромісу між складністю та спрощеністю, запропоновано 42 індикатори (з урахуванням “тіньових”, без яких оцінка рівня безпеки буде неадекватною реальній дійсності). Для кожного індикатора науково обґрунтовано межі безпечного існування: вектор порогових значень.</w:t>
      </w:r>
    </w:p>
    <w:p w:rsidR="0077673C" w:rsidRDefault="0077673C" w:rsidP="0077673C">
      <w:pPr>
        <w:ind w:firstLine="284"/>
        <w:jc w:val="both"/>
        <w:rPr>
          <w:rFonts w:ascii="Arial" w:hAnsi="Arial" w:cs="Arial"/>
          <w:bCs/>
          <w:spacing w:val="-6"/>
        </w:rPr>
      </w:pPr>
      <w:r w:rsidRPr="007C0823">
        <w:rPr>
          <w:rFonts w:ascii="Arial" w:hAnsi="Arial" w:cs="Arial"/>
          <w:bCs/>
          <w:spacing w:val="-6"/>
        </w:rPr>
        <w:t xml:space="preserve">Методологічною базою ідентифікації та </w:t>
      </w:r>
      <w:proofErr w:type="spellStart"/>
      <w:r w:rsidRPr="007C0823">
        <w:rPr>
          <w:rFonts w:ascii="Arial" w:hAnsi="Arial" w:cs="Arial"/>
          <w:bCs/>
          <w:spacing w:val="-6"/>
        </w:rPr>
        <w:t>стратегування</w:t>
      </w:r>
      <w:proofErr w:type="spellEnd"/>
      <w:r w:rsidRPr="007C0823">
        <w:rPr>
          <w:rFonts w:ascii="Arial" w:hAnsi="Arial" w:cs="Arial"/>
          <w:bCs/>
          <w:spacing w:val="-6"/>
        </w:rPr>
        <w:t xml:space="preserve"> є концепція сталого розвитку з позицій безпеки, на основі якої розроблено інтегровану багатофакторну модель енергетичної безпеки, проведено моделювання для визначення поточного рівня енергетичної безпеки України й визначено перелік найважливіших загроз. Для вирішення завдання стратегічного планування застосовано новий підхід, що базується на принципі “майбутнє визначається траєкторією в майбутнє” замість принципу класичного прогнозування “минуле визначає майбутнє”.</w:t>
      </w:r>
    </w:p>
    <w:p w:rsidR="0077673C" w:rsidRPr="007C0823" w:rsidRDefault="0077673C" w:rsidP="0077673C">
      <w:pPr>
        <w:ind w:firstLine="284"/>
        <w:jc w:val="both"/>
        <w:rPr>
          <w:rFonts w:ascii="Arial" w:hAnsi="Arial" w:cs="Arial"/>
          <w:bCs/>
          <w:spacing w:val="-6"/>
        </w:rPr>
      </w:pPr>
    </w:p>
    <w:p w:rsidR="0077673C" w:rsidRDefault="0077673C" w:rsidP="0077673C">
      <w:pPr>
        <w:ind w:firstLine="284"/>
        <w:jc w:val="both"/>
        <w:rPr>
          <w:rFonts w:ascii="Arial" w:hAnsi="Arial" w:cs="Arial"/>
          <w:bCs/>
          <w:spacing w:val="-6"/>
        </w:rPr>
      </w:pPr>
      <w:r w:rsidRPr="007C0823">
        <w:rPr>
          <w:rFonts w:ascii="Arial" w:hAnsi="Arial" w:cs="Arial"/>
          <w:b/>
          <w:bCs/>
          <w:spacing w:val="-6"/>
        </w:rPr>
        <w:t>Диба, М. I. Виклики Індустрії 4.0 у контексті її становлення на глобальному і національному рівнях</w:t>
      </w:r>
      <w:r w:rsidRPr="007C0823">
        <w:rPr>
          <w:rFonts w:ascii="Arial" w:hAnsi="Arial" w:cs="Arial"/>
          <w:bCs/>
          <w:spacing w:val="-6"/>
        </w:rPr>
        <w:t xml:space="preserve"> / М. I. Диба, Ю. О. </w:t>
      </w:r>
      <w:proofErr w:type="spellStart"/>
      <w:r w:rsidRPr="007C0823">
        <w:rPr>
          <w:rFonts w:ascii="Arial" w:hAnsi="Arial" w:cs="Arial"/>
          <w:bCs/>
          <w:spacing w:val="-6"/>
        </w:rPr>
        <w:t>Гернего</w:t>
      </w:r>
      <w:proofErr w:type="spellEnd"/>
      <w:r w:rsidRPr="007C0823">
        <w:rPr>
          <w:rFonts w:ascii="Arial" w:hAnsi="Arial" w:cs="Arial"/>
          <w:bCs/>
          <w:spacing w:val="-6"/>
        </w:rPr>
        <w:t xml:space="preserve"> // Економіка України. – 2020. – № 6. – С. 43</w:t>
      </w:r>
      <w:r>
        <w:rPr>
          <w:rFonts w:ascii="Arial" w:hAnsi="Arial" w:cs="Arial"/>
          <w:bCs/>
          <w:spacing w:val="-6"/>
        </w:rPr>
        <w:t>-</w:t>
      </w:r>
      <w:r w:rsidRPr="007C0823">
        <w:rPr>
          <w:rFonts w:ascii="Arial" w:hAnsi="Arial" w:cs="Arial"/>
          <w:bCs/>
          <w:spacing w:val="-6"/>
        </w:rPr>
        <w:t>59.</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Якісна трансформація соціально-економічних процесів у сучасному суспільстві є об’єктивним явищем. Зокрема, одним з важливих критеріїв конкурентоспроможності бізнесу слугує рівень його техніко-технологічного розвитку. У свою чергу, зростання частки високотехнологічного бізнесу закладає основу для конкурентоспроможності економіки країни на міжнародних ринках. На глобальному рівні формується Індустрія 4.0, яка характеризує наступний етап у розвитку промисловості. Ключовими характеристиками Індустрії 4.0 є прискорене впровадження технологій, у тому числі застосування промислового Інтернету речей, аналітики великих даних, штучного інтелекту, активізація нового покоління роботів, доповненої реальності тощо.</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lastRenderedPageBreak/>
        <w:t xml:space="preserve">У вказаному контексті важливо звернути увагу на потенціал впровадження інформативно-комунікативних технологій (ІКТ) у різних країнах світу. Згідно з дослідженнями сучасних аналітиків, країни поділяються на чотири групи залежно від рівня </w:t>
      </w:r>
      <w:proofErr w:type="spellStart"/>
      <w:r w:rsidRPr="007C0823">
        <w:rPr>
          <w:rFonts w:ascii="Arial" w:hAnsi="Arial" w:cs="Arial"/>
          <w:bCs/>
          <w:spacing w:val="-6"/>
        </w:rPr>
        <w:t>діджиталізації</w:t>
      </w:r>
      <w:proofErr w:type="spellEnd"/>
      <w:r w:rsidRPr="007C0823">
        <w:rPr>
          <w:rFonts w:ascii="Arial" w:hAnsi="Arial" w:cs="Arial"/>
          <w:bCs/>
          <w:spacing w:val="-6"/>
        </w:rPr>
        <w:t xml:space="preserve"> їх економік: з найнижчим рівнем ВВП на душу населення (рівень </w:t>
      </w:r>
      <w:proofErr w:type="spellStart"/>
      <w:r w:rsidRPr="007C0823">
        <w:rPr>
          <w:rFonts w:ascii="Arial" w:hAnsi="Arial" w:cs="Arial"/>
          <w:bCs/>
          <w:spacing w:val="-6"/>
        </w:rPr>
        <w:t>діджиталізації</w:t>
      </w:r>
      <w:proofErr w:type="spellEnd"/>
      <w:r w:rsidRPr="007C0823">
        <w:rPr>
          <w:rFonts w:ascii="Arial" w:hAnsi="Arial" w:cs="Arial"/>
          <w:bCs/>
          <w:spacing w:val="-6"/>
        </w:rPr>
        <w:t xml:space="preserve"> економіки становить 0––30%); ІКТ перебуває на стадії зародження (30––40%); країни на етапі трансформації, до яких, зокрема, належить і Україна (40––50%); просунутий рівень </w:t>
      </w:r>
      <w:proofErr w:type="spellStart"/>
      <w:r w:rsidRPr="007C0823">
        <w:rPr>
          <w:rFonts w:ascii="Arial" w:hAnsi="Arial" w:cs="Arial"/>
          <w:bCs/>
          <w:spacing w:val="-6"/>
        </w:rPr>
        <w:t>діджиталізації</w:t>
      </w:r>
      <w:proofErr w:type="spellEnd"/>
      <w:r w:rsidRPr="007C0823">
        <w:rPr>
          <w:rFonts w:ascii="Arial" w:hAnsi="Arial" w:cs="Arial"/>
          <w:bCs/>
          <w:spacing w:val="-6"/>
        </w:rPr>
        <w:t xml:space="preserve"> (понад 50%).</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Компанії розглянуто з огляду на потенціал їх функціонування крізь призму чотирьох рівнів екосистеми (рішення для клієнтів, операції, технології та кадри). У свою чергу, визначено, що успішне функціонування екосистеми розвитку Індустрії 4.0 можливе за умови формування інноваційної системи фінансової підтримки Індустрії 4.0, а саме Фінанси 4.0.</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 xml:space="preserve">Враховуючи поточні умови для розвитку Індустрії 4.0 в Україні та досліджений досвід підтримки ІКТ у розвинутих країнах світу, зроблено висновок щодо потенціалу національної економіки на регіональному </w:t>
      </w:r>
      <w:proofErr w:type="spellStart"/>
      <w:r w:rsidRPr="007C0823">
        <w:rPr>
          <w:rFonts w:ascii="Arial" w:hAnsi="Arial" w:cs="Arial"/>
          <w:bCs/>
          <w:spacing w:val="-6"/>
        </w:rPr>
        <w:t>діджитал</w:t>
      </w:r>
      <w:proofErr w:type="spellEnd"/>
      <w:r w:rsidRPr="007C0823">
        <w:rPr>
          <w:rFonts w:ascii="Arial" w:hAnsi="Arial" w:cs="Arial"/>
          <w:bCs/>
          <w:spacing w:val="-6"/>
        </w:rPr>
        <w:t>-ринку за умови належної фінансової підтримки Індустрії 4.0.</w:t>
      </w:r>
    </w:p>
    <w:p w:rsidR="0077673C" w:rsidRDefault="0077673C" w:rsidP="0077673C">
      <w:pPr>
        <w:ind w:firstLine="284"/>
        <w:jc w:val="both"/>
        <w:rPr>
          <w:rFonts w:ascii="Arial" w:hAnsi="Arial" w:cs="Arial"/>
          <w:bCs/>
          <w:spacing w:val="-6"/>
        </w:rPr>
      </w:pPr>
      <w:r w:rsidRPr="0068433D">
        <w:rPr>
          <w:rFonts w:ascii="Arial" w:hAnsi="Arial" w:cs="Arial"/>
          <w:b/>
          <w:bCs/>
          <w:spacing w:val="-6"/>
        </w:rPr>
        <w:t>Сердюк, О. С. Феномен подвійних організацій як негативний наслідок інституціонального переходу України</w:t>
      </w:r>
      <w:r w:rsidRPr="0068433D">
        <w:rPr>
          <w:rFonts w:ascii="Arial" w:hAnsi="Arial" w:cs="Arial"/>
          <w:bCs/>
          <w:spacing w:val="-6"/>
        </w:rPr>
        <w:t xml:space="preserve"> / О. С. Сердюк // Економіка України. – 2020. – № 6. – С. 60</w:t>
      </w:r>
      <w:r>
        <w:rPr>
          <w:rFonts w:ascii="Arial" w:hAnsi="Arial" w:cs="Arial"/>
          <w:bCs/>
          <w:spacing w:val="-6"/>
        </w:rPr>
        <w:t>-</w:t>
      </w:r>
      <w:r w:rsidRPr="0068433D">
        <w:rPr>
          <w:rFonts w:ascii="Arial" w:hAnsi="Arial" w:cs="Arial"/>
          <w:bCs/>
          <w:spacing w:val="-6"/>
        </w:rPr>
        <w:t>72</w:t>
      </w:r>
      <w:r>
        <w:rPr>
          <w:rFonts w:ascii="Arial" w:hAnsi="Arial" w:cs="Arial"/>
          <w:bCs/>
          <w:spacing w:val="-6"/>
        </w:rPr>
        <w:t>.</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Проаналізовано інституціональне середовище України. Встановлено, що для нього є характерним симбіоз різновекторних моральних, етичних і поведінкових норм. Обґрунтовано, що на формування індивідуалістичного і колективістського світогляду серед населення України впливало не лише формальне інституціональне середовище держави, з якої воно походило, а й характер діяльності та місце проживання. Проаналізовано фундаментальні відмінності світогляду населення України.</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 xml:space="preserve">Виявлено інституціональні передумови виникнення та існування подвійних організацій в умовах переходу від соціалістичної системи до ринкового господарства. Визначено, що в Україні відсутня інституціональна рівновага, внаслідок чого звичні норми і правила діяльності організацій не відповідають формальним вимогам. Охарактеризовано неформальну модель відносин «принципал –– агент». Висунуто гіпотезу, що різкий перехід до абсолютних індивідуалістичних інститутів призведе до збільшення кількості подвійних організацій. Зважаючи на таку імовірність унаслідок кардинальної трансформації інституціонального середовища, слід очікувати низької віддачі від трансакційного капіталу, </w:t>
      </w:r>
      <w:proofErr w:type="spellStart"/>
      <w:r w:rsidRPr="007C0823">
        <w:rPr>
          <w:rFonts w:ascii="Arial" w:hAnsi="Arial" w:cs="Arial"/>
          <w:bCs/>
          <w:spacing w:val="-6"/>
        </w:rPr>
        <w:t>принаймні,в</w:t>
      </w:r>
      <w:proofErr w:type="spellEnd"/>
      <w:r w:rsidRPr="007C0823">
        <w:rPr>
          <w:rFonts w:ascii="Arial" w:hAnsi="Arial" w:cs="Arial"/>
          <w:bCs/>
          <w:spacing w:val="-6"/>
        </w:rPr>
        <w:t xml:space="preserve"> короткостроковій перспективі. Із зміною поколінь, які формуватимуть власний світогляд у новому (індивідуалістичному) формальному інституціональному середовищі, слід очікувати як зниження трансакційних витрат, так і підвищення їх рентабельності. Виявлено, що в умовах інституційного переходу виняткового значення </w:t>
      </w:r>
      <w:proofErr w:type="spellStart"/>
      <w:r w:rsidRPr="007C0823">
        <w:rPr>
          <w:rFonts w:ascii="Arial" w:hAnsi="Arial" w:cs="Arial"/>
          <w:bCs/>
          <w:spacing w:val="-6"/>
        </w:rPr>
        <w:t>набуваєтрансакційний</w:t>
      </w:r>
      <w:proofErr w:type="spellEnd"/>
      <w:r w:rsidRPr="007C0823">
        <w:rPr>
          <w:rFonts w:ascii="Arial" w:hAnsi="Arial" w:cs="Arial"/>
          <w:bCs/>
          <w:spacing w:val="-6"/>
        </w:rPr>
        <w:t xml:space="preserve"> капітал.</w:t>
      </w:r>
    </w:p>
    <w:p w:rsidR="0077673C" w:rsidRPr="007C0823" w:rsidRDefault="0077673C" w:rsidP="0077673C">
      <w:pPr>
        <w:ind w:firstLine="284"/>
        <w:jc w:val="both"/>
        <w:rPr>
          <w:rFonts w:ascii="Arial" w:hAnsi="Arial" w:cs="Arial"/>
          <w:bCs/>
          <w:spacing w:val="-6"/>
        </w:rPr>
      </w:pPr>
      <w:r w:rsidRPr="007C0823">
        <w:rPr>
          <w:rFonts w:ascii="Arial" w:hAnsi="Arial" w:cs="Arial"/>
          <w:bCs/>
          <w:spacing w:val="-6"/>
        </w:rPr>
        <w:t xml:space="preserve">Надано рекомендації щодо врегулювання проблеми подвійних організацій в межах інституціонального переходу України. Запропоновано застосовувати комплекс заходів з посилення державного контролю за організаціями, де вже фактично існує або є загроза виникнення моделі відносин «принципал –– агент». Державний контроль за організаціями повинен мати партнерський характер. Паралельно рекомендовано поступово </w:t>
      </w:r>
      <w:proofErr w:type="spellStart"/>
      <w:r w:rsidRPr="007C0823">
        <w:rPr>
          <w:rFonts w:ascii="Arial" w:hAnsi="Arial" w:cs="Arial"/>
          <w:bCs/>
          <w:spacing w:val="-6"/>
        </w:rPr>
        <w:t>децентралізовувати</w:t>
      </w:r>
      <w:proofErr w:type="spellEnd"/>
      <w:r w:rsidRPr="007C0823">
        <w:rPr>
          <w:rFonts w:ascii="Arial" w:hAnsi="Arial" w:cs="Arial"/>
          <w:bCs/>
          <w:spacing w:val="-6"/>
        </w:rPr>
        <w:t xml:space="preserve"> формально колективістські організації, зберігаючи при цьому контроль за дотриманням вимог децентралізації.</w:t>
      </w:r>
    </w:p>
    <w:p w:rsidR="0077673C" w:rsidRDefault="0077673C" w:rsidP="0077673C">
      <w:pPr>
        <w:ind w:firstLine="284"/>
        <w:jc w:val="both"/>
        <w:rPr>
          <w:rFonts w:ascii="Arial" w:hAnsi="Arial" w:cs="Arial"/>
          <w:bCs/>
          <w:spacing w:val="-6"/>
        </w:rPr>
      </w:pPr>
      <w:r w:rsidRPr="007C0823">
        <w:rPr>
          <w:rFonts w:ascii="Arial" w:hAnsi="Arial" w:cs="Arial"/>
          <w:bCs/>
          <w:spacing w:val="-6"/>
        </w:rPr>
        <w:t>Обґрунтовано, що стратегія інституціонального переходу має включати заходи щодо стимулювання індивідуалістичних відносин усередині організації, що сприятиме ефективному застосуванню зрілих індивідуалістичних інститутів у майбутньому.</w:t>
      </w:r>
    </w:p>
    <w:p w:rsidR="0077673C" w:rsidRPr="007C0823" w:rsidRDefault="0077673C" w:rsidP="0077673C">
      <w:pPr>
        <w:ind w:firstLine="284"/>
        <w:jc w:val="both"/>
        <w:rPr>
          <w:rFonts w:ascii="Arial" w:hAnsi="Arial" w:cs="Arial"/>
          <w:bCs/>
          <w:spacing w:val="-6"/>
        </w:rPr>
      </w:pPr>
    </w:p>
    <w:p w:rsidR="0077673C" w:rsidRDefault="0077673C" w:rsidP="0077673C">
      <w:pPr>
        <w:ind w:firstLine="284"/>
        <w:jc w:val="both"/>
        <w:rPr>
          <w:rFonts w:ascii="Arial" w:hAnsi="Arial" w:cs="Arial"/>
          <w:bCs/>
          <w:spacing w:val="-6"/>
        </w:rPr>
      </w:pPr>
      <w:proofErr w:type="spellStart"/>
      <w:r w:rsidRPr="007C0823">
        <w:rPr>
          <w:rFonts w:ascii="Arial" w:hAnsi="Arial" w:cs="Arial"/>
          <w:b/>
          <w:bCs/>
          <w:spacing w:val="-6"/>
        </w:rPr>
        <w:t>Миргасан</w:t>
      </w:r>
      <w:proofErr w:type="spellEnd"/>
      <w:r w:rsidRPr="007C0823">
        <w:rPr>
          <w:rFonts w:ascii="Arial" w:hAnsi="Arial" w:cs="Arial"/>
          <w:b/>
          <w:bCs/>
          <w:spacing w:val="-6"/>
        </w:rPr>
        <w:t xml:space="preserve">, С. М. </w:t>
      </w:r>
      <w:proofErr w:type="spellStart"/>
      <w:r w:rsidRPr="007C0823">
        <w:rPr>
          <w:rFonts w:ascii="Arial" w:hAnsi="Arial" w:cs="Arial"/>
          <w:b/>
          <w:bCs/>
          <w:spacing w:val="-6"/>
        </w:rPr>
        <w:t>Государственное</w:t>
      </w:r>
      <w:proofErr w:type="spellEnd"/>
      <w:r w:rsidRPr="007C0823">
        <w:rPr>
          <w:rFonts w:ascii="Arial" w:hAnsi="Arial" w:cs="Arial"/>
          <w:b/>
          <w:bCs/>
          <w:spacing w:val="-6"/>
        </w:rPr>
        <w:t xml:space="preserve"> </w:t>
      </w:r>
      <w:proofErr w:type="spellStart"/>
      <w:r w:rsidRPr="007C0823">
        <w:rPr>
          <w:rFonts w:ascii="Arial" w:hAnsi="Arial" w:cs="Arial"/>
          <w:b/>
          <w:bCs/>
          <w:spacing w:val="-6"/>
        </w:rPr>
        <w:t>регулирование</w:t>
      </w:r>
      <w:proofErr w:type="spellEnd"/>
      <w:r w:rsidRPr="007C0823">
        <w:rPr>
          <w:rFonts w:ascii="Arial" w:hAnsi="Arial" w:cs="Arial"/>
          <w:b/>
          <w:bCs/>
          <w:spacing w:val="-6"/>
        </w:rPr>
        <w:t xml:space="preserve"> </w:t>
      </w:r>
      <w:proofErr w:type="spellStart"/>
      <w:r w:rsidRPr="007C0823">
        <w:rPr>
          <w:rFonts w:ascii="Arial" w:hAnsi="Arial" w:cs="Arial"/>
          <w:b/>
          <w:bCs/>
          <w:spacing w:val="-6"/>
        </w:rPr>
        <w:t>цен</w:t>
      </w:r>
      <w:proofErr w:type="spellEnd"/>
      <w:r w:rsidRPr="007C0823">
        <w:rPr>
          <w:rFonts w:ascii="Arial" w:hAnsi="Arial" w:cs="Arial"/>
          <w:bCs/>
          <w:spacing w:val="-6"/>
        </w:rPr>
        <w:t xml:space="preserve"> </w:t>
      </w:r>
      <w:r>
        <w:rPr>
          <w:rFonts w:ascii="Arial" w:hAnsi="Arial" w:cs="Arial"/>
          <w:bCs/>
          <w:spacing w:val="-6"/>
        </w:rPr>
        <w:t>/ С. М. </w:t>
      </w:r>
      <w:proofErr w:type="spellStart"/>
      <w:r w:rsidRPr="007C0823">
        <w:rPr>
          <w:rFonts w:ascii="Arial" w:hAnsi="Arial" w:cs="Arial"/>
          <w:bCs/>
          <w:spacing w:val="-6"/>
        </w:rPr>
        <w:t>Миргасан</w:t>
      </w:r>
      <w:proofErr w:type="spellEnd"/>
      <w:r w:rsidRPr="007C0823">
        <w:rPr>
          <w:rFonts w:ascii="Arial" w:hAnsi="Arial" w:cs="Arial"/>
          <w:bCs/>
          <w:spacing w:val="-6"/>
        </w:rPr>
        <w:t xml:space="preserve"> // Економіка України. – 2020. – № 6. – С. 73</w:t>
      </w:r>
      <w:r>
        <w:rPr>
          <w:rFonts w:ascii="Arial" w:hAnsi="Arial" w:cs="Arial"/>
          <w:bCs/>
          <w:spacing w:val="-6"/>
        </w:rPr>
        <w:t>-</w:t>
      </w:r>
      <w:r w:rsidRPr="007C0823">
        <w:rPr>
          <w:rFonts w:ascii="Arial" w:hAnsi="Arial" w:cs="Arial"/>
          <w:bCs/>
          <w:spacing w:val="-6"/>
        </w:rPr>
        <w:t>82.</w:t>
      </w:r>
    </w:p>
    <w:p w:rsidR="0077673C" w:rsidRDefault="0077673C" w:rsidP="0077673C">
      <w:pPr>
        <w:ind w:firstLine="284"/>
        <w:jc w:val="both"/>
        <w:rPr>
          <w:rFonts w:ascii="Arial" w:hAnsi="Arial" w:cs="Arial"/>
          <w:bCs/>
          <w:spacing w:val="-6"/>
        </w:rPr>
      </w:pPr>
      <w:r w:rsidRPr="007C0823">
        <w:rPr>
          <w:rFonts w:ascii="Arial" w:hAnsi="Arial" w:cs="Arial"/>
          <w:bCs/>
          <w:spacing w:val="-6"/>
        </w:rPr>
        <w:t>Державне регулювання ринкових цін полягає у встановленні контролю за ними, який зазвичай здійснюється у вигляді верхньої та нижньої межі цін. Найвищі рівні цін використовуються державою для контролю за собівартістю продукції. У принципі, найвищий рівень цін обмежує виробництво певного товару. Ці примусові ціни встановлюються нижче балансової ринкової ціни. Як і нижні межі цін, найвищі ціни запроваджуються для контролю ринку і захисту споживачів. Цінова стратегія полягає у визначенні відносного рівня цін з урахуванням факторів впливу і реалізації відповідних робочих цілей у конкретних специфічних умовах. Цінова стратегія забезпечує системне відображення управлінських елементів для отримання прибуткового результату. До цих елементів включено основні цілі: ціни (зростання прибутку), рівень відносної цільової вартості (собівартість, пов’язана з конкуренцією або клієнтом), у тому числі внутрішні та зовнішні фактори, що мають місце в бізнесі. З урахуванням цього розглянуто формування цінової політики в умовах ринкової економіки на основі світової практики.</w:t>
      </w:r>
    </w:p>
    <w:p w:rsidR="0077673C" w:rsidRPr="007C0823" w:rsidRDefault="0077673C" w:rsidP="0077673C">
      <w:pPr>
        <w:ind w:firstLine="284"/>
        <w:jc w:val="both"/>
        <w:rPr>
          <w:rFonts w:ascii="Arial" w:hAnsi="Arial" w:cs="Arial"/>
          <w:bCs/>
          <w:spacing w:val="-6"/>
        </w:rPr>
      </w:pPr>
    </w:p>
    <w:p w:rsidR="0077673C" w:rsidRDefault="0077673C" w:rsidP="0077673C">
      <w:pPr>
        <w:ind w:firstLine="284"/>
        <w:jc w:val="both"/>
        <w:rPr>
          <w:rFonts w:ascii="Arial" w:hAnsi="Arial" w:cs="Arial"/>
          <w:bCs/>
          <w:spacing w:val="-6"/>
        </w:rPr>
      </w:pPr>
      <w:r w:rsidRPr="007C0823">
        <w:rPr>
          <w:rFonts w:ascii="Arial" w:hAnsi="Arial" w:cs="Arial"/>
          <w:b/>
          <w:bCs/>
          <w:spacing w:val="-6"/>
        </w:rPr>
        <w:t>Попова, О. Л. Новації спільної аграрної політики ЄС у програмному періоді 2021 – 2027 рр.</w:t>
      </w:r>
      <w:r w:rsidRPr="007C0823">
        <w:rPr>
          <w:rFonts w:ascii="Arial" w:hAnsi="Arial" w:cs="Arial"/>
          <w:bCs/>
          <w:spacing w:val="-6"/>
        </w:rPr>
        <w:t xml:space="preserve"> / О. Л. Попова // Економіка України. – 2020. – № 6. – С. 83</w:t>
      </w:r>
      <w:r>
        <w:rPr>
          <w:rFonts w:ascii="Arial" w:hAnsi="Arial" w:cs="Arial"/>
          <w:bCs/>
          <w:spacing w:val="-6"/>
        </w:rPr>
        <w:t>-</w:t>
      </w:r>
      <w:r w:rsidRPr="007C0823">
        <w:rPr>
          <w:rFonts w:ascii="Arial" w:hAnsi="Arial" w:cs="Arial"/>
          <w:bCs/>
          <w:spacing w:val="-6"/>
        </w:rPr>
        <w:t>95.</w:t>
      </w:r>
    </w:p>
    <w:p w:rsidR="0077673C" w:rsidRDefault="0077673C" w:rsidP="0077673C">
      <w:pPr>
        <w:ind w:firstLine="284"/>
        <w:jc w:val="both"/>
        <w:rPr>
          <w:rFonts w:ascii="Arial" w:hAnsi="Arial" w:cs="Arial"/>
          <w:bCs/>
          <w:spacing w:val="-6"/>
        </w:rPr>
      </w:pPr>
      <w:r w:rsidRPr="007C0823">
        <w:rPr>
          <w:rFonts w:ascii="Arial" w:hAnsi="Arial" w:cs="Arial"/>
          <w:bCs/>
          <w:spacing w:val="-6"/>
        </w:rPr>
        <w:t xml:space="preserve">Розкрито загальний дискурс щодо європейських пріоритетів аграрного та сільського розвитку на новий програмний період і </w:t>
      </w:r>
      <w:proofErr w:type="spellStart"/>
      <w:r w:rsidRPr="007C0823">
        <w:rPr>
          <w:rFonts w:ascii="Arial" w:hAnsi="Arial" w:cs="Arial"/>
          <w:bCs/>
          <w:spacing w:val="-6"/>
        </w:rPr>
        <w:t>уроки</w:t>
      </w:r>
      <w:proofErr w:type="spellEnd"/>
      <w:r w:rsidRPr="007C0823">
        <w:rPr>
          <w:rFonts w:ascii="Arial" w:hAnsi="Arial" w:cs="Arial"/>
          <w:bCs/>
          <w:spacing w:val="-6"/>
        </w:rPr>
        <w:t xml:space="preserve"> для національної аграрної політики і практики в Україні. Узагальнено обговорювані пріоритети і механізми реформи Спільної аграрної політики (САП) ЄС на 2021––2027 рр., а саме: посилення еколого-кліматичного фокусу на основі Нового Зеленого Курсу для Європи; удосконалення стратегічного планування в рамках Нової моделі надання з певною децентралізацію повноважень на користь країн-членів з метою забезпечення їм більшої гнучкості при плануванні та </w:t>
      </w:r>
      <w:r w:rsidRPr="007C0823">
        <w:rPr>
          <w:rFonts w:ascii="Arial" w:hAnsi="Arial" w:cs="Arial"/>
          <w:bCs/>
          <w:spacing w:val="-6"/>
        </w:rPr>
        <w:lastRenderedPageBreak/>
        <w:t xml:space="preserve">фінансуванні заходів для кращої адаптації САП до місцевих реалій у країнах; просування європейських стандартів високої якості продуктів з реалізацією фермерами стратегії «Від ферми до виделки». Нові засади Нового Зеленого Курсу для Європи розглянуто із застосуванням методу порівняльного аналізу як відповідь на виклики нинішньої САП ЄС і подолання їх негативних наслідків. Конкретизовано три загальні теми і дев’ять основних цілей, які лежать в основі реформи САП на 2021––2027 рр. Систематизовані </w:t>
      </w:r>
      <w:proofErr w:type="spellStart"/>
      <w:r w:rsidRPr="007C0823">
        <w:rPr>
          <w:rFonts w:ascii="Arial" w:hAnsi="Arial" w:cs="Arial"/>
          <w:bCs/>
          <w:spacing w:val="-6"/>
        </w:rPr>
        <w:t>уроки</w:t>
      </w:r>
      <w:proofErr w:type="spellEnd"/>
      <w:r w:rsidRPr="007C0823">
        <w:rPr>
          <w:rFonts w:ascii="Arial" w:hAnsi="Arial" w:cs="Arial"/>
          <w:bCs/>
          <w:spacing w:val="-6"/>
        </w:rPr>
        <w:t xml:space="preserve"> для України стосуються переведення сільського господарства на модель сталого розвитку –– від аграрного </w:t>
      </w:r>
      <w:proofErr w:type="spellStart"/>
      <w:r w:rsidRPr="007C0823">
        <w:rPr>
          <w:rFonts w:ascii="Arial" w:hAnsi="Arial" w:cs="Arial"/>
          <w:bCs/>
          <w:spacing w:val="-6"/>
        </w:rPr>
        <w:t>продуктивізму</w:t>
      </w:r>
      <w:proofErr w:type="spellEnd"/>
      <w:r w:rsidRPr="007C0823">
        <w:rPr>
          <w:rFonts w:ascii="Arial" w:hAnsi="Arial" w:cs="Arial"/>
          <w:bCs/>
          <w:spacing w:val="-6"/>
        </w:rPr>
        <w:t xml:space="preserve"> до </w:t>
      </w:r>
      <w:proofErr w:type="spellStart"/>
      <w:r w:rsidRPr="007C0823">
        <w:rPr>
          <w:rFonts w:ascii="Arial" w:hAnsi="Arial" w:cs="Arial"/>
          <w:bCs/>
          <w:spacing w:val="-6"/>
        </w:rPr>
        <w:t>соціоекономіки</w:t>
      </w:r>
      <w:proofErr w:type="spellEnd"/>
      <w:r w:rsidRPr="007C0823">
        <w:rPr>
          <w:rFonts w:ascii="Arial" w:hAnsi="Arial" w:cs="Arial"/>
          <w:bCs/>
          <w:spacing w:val="-6"/>
        </w:rPr>
        <w:t xml:space="preserve">; відходу від державної «підтримки виробництва продукції» до «підтримки виробника з </w:t>
      </w:r>
      <w:proofErr w:type="spellStart"/>
      <w:r w:rsidRPr="007C0823">
        <w:rPr>
          <w:rFonts w:ascii="Arial" w:hAnsi="Arial" w:cs="Arial"/>
          <w:bCs/>
          <w:spacing w:val="-6"/>
        </w:rPr>
        <w:t>екообумовленим</w:t>
      </w:r>
      <w:proofErr w:type="spellEnd"/>
      <w:r w:rsidRPr="007C0823">
        <w:rPr>
          <w:rFonts w:ascii="Arial" w:hAnsi="Arial" w:cs="Arial"/>
          <w:bCs/>
          <w:spacing w:val="-6"/>
        </w:rPr>
        <w:t xml:space="preserve"> господарюванням» і далі –– до «підтримки методів господарювання»; позиціонування сільського розвитку як важливої другої компоненти національної політики; перерозподілу коштів підтримки на користь малих і середніх господарств тощо. Актуалізовано </w:t>
      </w:r>
      <w:proofErr w:type="spellStart"/>
      <w:r w:rsidRPr="007C0823">
        <w:rPr>
          <w:rFonts w:ascii="Arial" w:hAnsi="Arial" w:cs="Arial"/>
          <w:bCs/>
          <w:spacing w:val="-6"/>
        </w:rPr>
        <w:t>уроки</w:t>
      </w:r>
      <w:proofErr w:type="spellEnd"/>
      <w:r w:rsidRPr="007C0823">
        <w:rPr>
          <w:rFonts w:ascii="Arial" w:hAnsi="Arial" w:cs="Arial"/>
          <w:bCs/>
          <w:spacing w:val="-6"/>
        </w:rPr>
        <w:t xml:space="preserve"> щодо забезпечення продовольчого суверенітету в державі, що означає максимально покладатися на місцеве виробництво аграрної продукції, агроекологію і культурні традиції; переходу до солідарності при веденні сільського господарства, оскільки пандемія COVID-19 виявила нестійкість нинішньої продовольчої системи, особливо в сегменті малих і частково середніх сільгоспвиробників.</w:t>
      </w:r>
    </w:p>
    <w:p w:rsidR="0077673C" w:rsidRDefault="0077673C" w:rsidP="0077673C">
      <w:pPr>
        <w:ind w:firstLine="284"/>
        <w:jc w:val="both"/>
        <w:rPr>
          <w:rFonts w:ascii="Arial" w:hAnsi="Arial" w:cs="Arial"/>
          <w:bCs/>
          <w:spacing w:val="-6"/>
        </w:rPr>
      </w:pPr>
    </w:p>
    <w:p w:rsidR="00BF2EA5" w:rsidRDefault="00BF2EA5">
      <w:bookmarkStart w:id="0" w:name="_GoBack"/>
      <w:bookmarkEnd w:id="0"/>
    </w:p>
    <w:sectPr w:rsidR="00BF2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26"/>
    <w:rsid w:val="002F18D2"/>
    <w:rsid w:val="004D3126"/>
    <w:rsid w:val="0077673C"/>
    <w:rsid w:val="00BF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20F45-601C-491C-9710-407C1CBB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73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1835</Words>
  <Characters>10464</Characters>
  <Application>Microsoft Office Word</Application>
  <DocSecurity>0</DocSecurity>
  <Lines>87</Lines>
  <Paragraphs>24</Paragraphs>
  <ScaleCrop>false</ScaleCrop>
  <Company>SPecialiST RePack</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2020-11-17T19:51:00Z</dcterms:created>
  <dcterms:modified xsi:type="dcterms:W3CDTF">2020-11-17T19:56:00Z</dcterms:modified>
</cp:coreProperties>
</file>