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AC" w:rsidRPr="001A3EC6" w:rsidRDefault="00C66BAC" w:rsidP="00C66BAC">
      <w:pPr>
        <w:ind w:firstLine="284"/>
        <w:jc w:val="center"/>
        <w:rPr>
          <w:rFonts w:ascii="Arial" w:hAnsi="Arial" w:cs="Arial"/>
          <w:b/>
          <w:bCs/>
          <w:i/>
          <w:color w:val="FF0000"/>
          <w:lang w:val="ru-RU"/>
        </w:rPr>
      </w:pPr>
      <w:r w:rsidRPr="001A3EC6">
        <w:rPr>
          <w:rFonts w:ascii="Arial" w:hAnsi="Arial" w:cs="Arial"/>
          <w:b/>
          <w:bCs/>
          <w:i/>
          <w:color w:val="FF0000"/>
          <w:lang w:val="ru-RU"/>
        </w:rPr>
        <w:t>Економіка України. – 2020. – № 5.</w:t>
      </w:r>
    </w:p>
    <w:p w:rsidR="00C66BAC" w:rsidRPr="00212D20" w:rsidRDefault="00C66BAC" w:rsidP="00C66BAC">
      <w:pPr>
        <w:ind w:firstLine="284"/>
        <w:jc w:val="both"/>
        <w:rPr>
          <w:rFonts w:ascii="Arial" w:hAnsi="Arial" w:cs="Arial"/>
          <w:bCs/>
          <w:lang w:val="ru-RU"/>
        </w:rPr>
      </w:pPr>
    </w:p>
    <w:p w:rsidR="00C66BAC" w:rsidRDefault="00C66BAC" w:rsidP="00C66BAC">
      <w:pPr>
        <w:ind w:firstLine="284"/>
        <w:jc w:val="both"/>
        <w:rPr>
          <w:rFonts w:ascii="Arial" w:hAnsi="Arial" w:cs="Arial"/>
          <w:bCs/>
          <w:lang w:val="ru-RU"/>
        </w:rPr>
      </w:pPr>
      <w:r w:rsidRPr="00212D20">
        <w:rPr>
          <w:rFonts w:ascii="Arial" w:hAnsi="Arial" w:cs="Arial"/>
          <w:b/>
          <w:bCs/>
          <w:lang w:val="ru-RU"/>
        </w:rPr>
        <w:t>Колодко, Г. В. Після пандемії. Економіка і політика у постпандемічному світі</w:t>
      </w:r>
      <w:r>
        <w:rPr>
          <w:rFonts w:ascii="Arial" w:hAnsi="Arial" w:cs="Arial"/>
          <w:bCs/>
          <w:lang w:val="ru-RU"/>
        </w:rPr>
        <w:t xml:space="preserve"> </w:t>
      </w:r>
      <w:r w:rsidRPr="001B5695">
        <w:rPr>
          <w:rFonts w:ascii="Arial" w:hAnsi="Arial" w:cs="Arial"/>
          <w:bCs/>
          <w:lang w:val="ru-RU"/>
        </w:rPr>
        <w:t>/ Г. В. Колодко // Економіка України. – 2020. – №</w:t>
      </w:r>
      <w:r>
        <w:rPr>
          <w:rFonts w:ascii="Arial" w:hAnsi="Arial" w:cs="Arial"/>
          <w:bCs/>
          <w:lang w:val="ru-RU"/>
        </w:rPr>
        <w:t xml:space="preserve"> 5</w:t>
      </w:r>
      <w:r w:rsidRPr="001B5695">
        <w:rPr>
          <w:rFonts w:ascii="Arial" w:hAnsi="Arial" w:cs="Arial"/>
          <w:bCs/>
          <w:lang w:val="ru-RU"/>
        </w:rPr>
        <w:t>. – С.</w:t>
      </w:r>
      <w:r>
        <w:rPr>
          <w:rFonts w:ascii="Arial" w:hAnsi="Arial" w:cs="Arial"/>
          <w:bCs/>
          <w:lang w:val="ru-RU"/>
        </w:rPr>
        <w:t xml:space="preserve"> </w:t>
      </w:r>
      <w:r w:rsidRPr="00212D20">
        <w:rPr>
          <w:rFonts w:ascii="Arial" w:hAnsi="Arial" w:cs="Arial"/>
          <w:bCs/>
        </w:rPr>
        <w:t>3-24</w:t>
      </w:r>
      <w:r w:rsidRPr="001B5695">
        <w:rPr>
          <w:rFonts w:ascii="Arial" w:hAnsi="Arial" w:cs="Arial"/>
          <w:bCs/>
          <w:lang w:val="ru-RU"/>
        </w:rPr>
        <w:t>.</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Пандемія коронавірусу, яка потрясла світ, ляже довгою тінню на багато років. Вона ставить перед людством неймовірні виклики, які збігаються з іншими негативними мегатенденціями і невирішеними економічними, соціальними та політичними проблемами. Величезні наслід</w:t>
      </w:r>
      <w:r>
        <w:rPr>
          <w:rFonts w:ascii="Arial" w:hAnsi="Arial" w:cs="Arial"/>
          <w:bCs/>
          <w:lang w:val="ru-RU"/>
        </w:rPr>
        <w:t>ки пандемії та втрати від неї –</w:t>
      </w:r>
      <w:r w:rsidRPr="00301E77">
        <w:rPr>
          <w:rFonts w:ascii="Arial" w:hAnsi="Arial" w:cs="Arial"/>
          <w:bCs/>
          <w:lang w:val="ru-RU"/>
        </w:rPr>
        <w:t xml:space="preserve"> людські, соц</w:t>
      </w:r>
      <w:r>
        <w:rPr>
          <w:rFonts w:ascii="Arial" w:hAnsi="Arial" w:cs="Arial"/>
          <w:bCs/>
          <w:lang w:val="ru-RU"/>
        </w:rPr>
        <w:t>іальні, економічні, фінансові –</w:t>
      </w:r>
      <w:r w:rsidRPr="00301E77">
        <w:rPr>
          <w:rFonts w:ascii="Arial" w:hAnsi="Arial" w:cs="Arial"/>
          <w:bCs/>
          <w:lang w:val="ru-RU"/>
        </w:rPr>
        <w:t xml:space="preserve"> повністю будуть оцінені тільки через певний час, тобто постфактум. Хтось не втратить нічого, інші втратять усе, іноді навіть життя.</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Неоднорідне постпандемічне майбутнє, в якому в умовах незворотної глобалізації взаємодіятимуть різні політичні та економічні системи, розвиватиметься багатьма шляхами, причому становище високорозвинутих країн послаблюватиметь</w:t>
      </w:r>
      <w:r>
        <w:rPr>
          <w:rFonts w:ascii="Arial" w:hAnsi="Arial" w:cs="Arial"/>
          <w:bCs/>
          <w:lang w:val="ru-RU"/>
        </w:rPr>
        <w:t>ся. Напруження за лінією «США –</w:t>
      </w:r>
      <w:r w:rsidRPr="00301E77">
        <w:rPr>
          <w:rFonts w:ascii="Arial" w:hAnsi="Arial" w:cs="Arial"/>
          <w:bCs/>
          <w:lang w:val="ru-RU"/>
        </w:rPr>
        <w:t xml:space="preserve"> Китай» зростатиме, геополітика і геоекономіка змінюватимуться. Протистояння між демократією і авторитаризмом посилюватиметься, трансформуватиметься синергія ринку та держави. Особливо небезпечною буде альтернатива між двома боками однієї «фальшивої медалі»: між неоліберальним капіталізмом і капіталізмом популістським.</w:t>
      </w:r>
    </w:p>
    <w:p w:rsidR="00C66BAC" w:rsidRDefault="00C66BAC" w:rsidP="00C66BAC">
      <w:pPr>
        <w:ind w:firstLine="284"/>
        <w:jc w:val="both"/>
        <w:rPr>
          <w:rFonts w:ascii="Arial" w:hAnsi="Arial" w:cs="Arial"/>
          <w:bCs/>
          <w:lang w:val="ru-RU"/>
        </w:rPr>
      </w:pPr>
      <w:r w:rsidRPr="00301E77">
        <w:rPr>
          <w:rFonts w:ascii="Arial" w:hAnsi="Arial" w:cs="Arial"/>
          <w:bCs/>
          <w:lang w:val="ru-RU"/>
        </w:rPr>
        <w:t>Шанси на краще майбутнє можуть бути створені шляхом поступового переходу до Нового прагматизму. Це стратегія модерації еконо</w:t>
      </w:r>
      <w:r>
        <w:rPr>
          <w:rFonts w:ascii="Arial" w:hAnsi="Arial" w:cs="Arial"/>
          <w:bCs/>
          <w:lang w:val="ru-RU"/>
        </w:rPr>
        <w:t>мічної діяльності та потрійно –</w:t>
      </w:r>
      <w:r w:rsidRPr="00301E77">
        <w:rPr>
          <w:rFonts w:ascii="Arial" w:hAnsi="Arial" w:cs="Arial"/>
          <w:bCs/>
          <w:lang w:val="ru-RU"/>
        </w:rPr>
        <w:t xml:space="preserve"> економ</w:t>
      </w:r>
      <w:r>
        <w:rPr>
          <w:rFonts w:ascii="Arial" w:hAnsi="Arial" w:cs="Arial"/>
          <w:bCs/>
          <w:lang w:val="ru-RU"/>
        </w:rPr>
        <w:t>ічно, соціально та екологічно –</w:t>
      </w:r>
      <w:r w:rsidRPr="00301E77">
        <w:rPr>
          <w:rFonts w:ascii="Arial" w:hAnsi="Arial" w:cs="Arial"/>
          <w:bCs/>
          <w:lang w:val="ru-RU"/>
        </w:rPr>
        <w:t xml:space="preserve"> сталого розвитку, що базується на основах інноваційної, неортодоксальної та цілісної економічної теорії. Пандемія є величезним викликом також і для суспільних наук, не тільки для економіки, тому що старий спосіб мислення часто виявляється безпорадним для аналізу та пояснення нових ситуацій.</w:t>
      </w:r>
    </w:p>
    <w:p w:rsidR="00C66BAC" w:rsidRDefault="00C66BAC" w:rsidP="00C66BAC">
      <w:pPr>
        <w:ind w:firstLine="284"/>
        <w:jc w:val="both"/>
        <w:rPr>
          <w:rFonts w:ascii="Arial" w:hAnsi="Arial" w:cs="Arial"/>
          <w:bCs/>
        </w:rPr>
      </w:pPr>
    </w:p>
    <w:p w:rsidR="00C66BAC" w:rsidRDefault="00C66BAC" w:rsidP="00C66BAC">
      <w:pPr>
        <w:ind w:firstLine="284"/>
        <w:jc w:val="both"/>
        <w:rPr>
          <w:rFonts w:ascii="Arial" w:hAnsi="Arial" w:cs="Arial"/>
          <w:bCs/>
          <w:lang w:val="ru-RU"/>
        </w:rPr>
      </w:pPr>
      <w:r w:rsidRPr="00301E77">
        <w:rPr>
          <w:rFonts w:ascii="Arial" w:hAnsi="Arial" w:cs="Arial"/>
          <w:b/>
          <w:bCs/>
        </w:rPr>
        <w:t>Єщенко П</w:t>
      </w:r>
      <w:r w:rsidRPr="00301E77">
        <w:rPr>
          <w:rFonts w:ascii="Arial" w:hAnsi="Arial" w:cs="Arial"/>
          <w:b/>
          <w:bCs/>
          <w:lang w:val="ru-RU"/>
        </w:rPr>
        <w:t>.</w:t>
      </w:r>
      <w:r w:rsidRPr="00301E77">
        <w:rPr>
          <w:rFonts w:ascii="Arial" w:hAnsi="Arial" w:cs="Arial"/>
          <w:b/>
          <w:bCs/>
        </w:rPr>
        <w:t xml:space="preserve"> С</w:t>
      </w:r>
      <w:r w:rsidRPr="00301E77">
        <w:rPr>
          <w:rFonts w:ascii="Arial" w:hAnsi="Arial" w:cs="Arial"/>
          <w:b/>
          <w:bCs/>
          <w:lang w:val="ru-RU"/>
        </w:rPr>
        <w:t xml:space="preserve">. </w:t>
      </w:r>
      <w:r w:rsidRPr="00301E77">
        <w:rPr>
          <w:rFonts w:ascii="Arial" w:hAnsi="Arial" w:cs="Arial"/>
          <w:b/>
          <w:bCs/>
        </w:rPr>
        <w:t>Неоліберальна модель ринку та її вплив на розвиток України</w:t>
      </w:r>
      <w:r>
        <w:rPr>
          <w:rFonts w:ascii="Arial" w:hAnsi="Arial" w:cs="Arial"/>
          <w:bCs/>
          <w:lang w:val="ru-RU"/>
        </w:rPr>
        <w:t xml:space="preserve"> / </w:t>
      </w:r>
      <w:r w:rsidRPr="00301E77">
        <w:rPr>
          <w:rFonts w:ascii="Arial" w:hAnsi="Arial" w:cs="Arial"/>
          <w:bCs/>
          <w:lang w:val="ru-RU"/>
        </w:rPr>
        <w:t>П. С.</w:t>
      </w:r>
      <w:r>
        <w:rPr>
          <w:rFonts w:ascii="Arial" w:hAnsi="Arial" w:cs="Arial"/>
          <w:bCs/>
          <w:lang w:val="ru-RU"/>
        </w:rPr>
        <w:t xml:space="preserve"> </w:t>
      </w:r>
      <w:r w:rsidRPr="00301E77">
        <w:rPr>
          <w:rFonts w:ascii="Arial" w:hAnsi="Arial" w:cs="Arial"/>
          <w:bCs/>
          <w:lang w:val="ru-RU"/>
        </w:rPr>
        <w:t>Єщенко</w:t>
      </w:r>
      <w:r>
        <w:rPr>
          <w:rFonts w:ascii="Arial" w:hAnsi="Arial" w:cs="Arial"/>
          <w:bCs/>
          <w:lang w:val="ru-RU"/>
        </w:rPr>
        <w:t xml:space="preserve"> </w:t>
      </w:r>
      <w:r w:rsidRPr="00301E77">
        <w:rPr>
          <w:rFonts w:ascii="Arial" w:hAnsi="Arial" w:cs="Arial"/>
          <w:bCs/>
          <w:lang w:val="ru-RU"/>
        </w:rPr>
        <w:t>// Економіка України. – 2020. – № 5. – С.</w:t>
      </w:r>
      <w:r>
        <w:rPr>
          <w:rFonts w:ascii="Arial" w:hAnsi="Arial" w:cs="Arial"/>
          <w:bCs/>
          <w:lang w:val="ru-RU"/>
        </w:rPr>
        <w:t xml:space="preserve"> </w:t>
      </w:r>
      <w:r w:rsidRPr="00301E77">
        <w:rPr>
          <w:rFonts w:ascii="Arial" w:hAnsi="Arial" w:cs="Arial"/>
          <w:bCs/>
          <w:lang w:val="ru-RU"/>
        </w:rPr>
        <w:t>25-40</w:t>
      </w:r>
      <w:r>
        <w:rPr>
          <w:rFonts w:ascii="Arial" w:hAnsi="Arial" w:cs="Arial"/>
          <w:bCs/>
          <w:lang w:val="ru-RU"/>
        </w:rPr>
        <w:t>.</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Розкрито, що ліберальний мейнстрим, який репрезентує визначальний напрям у фундаментальній економічній теорії, в нинішніх умовах переходу від індустріально-ринкової до інформаційно-мережевої економіки та розвитку цифрових технологій не хоче залишати своє панівне місце. На основі фактичних даних показано негативний вплив цієї теорії, яка через здійснювану владними структурами України економічну політику, як буревій, руйнує не тільки економіку, а й культурні та соціальні цінності нашого народу. Нинішній соціально-економічний формат України не дозволяє їй боротися за «місце під сонцем» у розвитку цифрових технологій та перерозподілі технологічної ренти. Доведено, що використання неоліберальної економічної теорії сприяло тому, що світова економіка стала мати яскраво виражений рентний характер. Доказом цьому є те, що країни з низькоефективною економікою внаслідок відкриття національних економік мають світову ренту, що зменшується. Щодо країн з високорозвинутою економікою, то вони отримують світову ренту, що зростає.</w:t>
      </w:r>
    </w:p>
    <w:p w:rsidR="00C66BAC" w:rsidRDefault="00C66BAC" w:rsidP="00C66BAC">
      <w:pPr>
        <w:ind w:firstLine="284"/>
        <w:jc w:val="both"/>
        <w:rPr>
          <w:rFonts w:ascii="Arial" w:hAnsi="Arial" w:cs="Arial"/>
          <w:bCs/>
          <w:lang w:val="ru-RU"/>
        </w:rPr>
      </w:pPr>
      <w:r w:rsidRPr="00301E77">
        <w:rPr>
          <w:rFonts w:ascii="Arial" w:hAnsi="Arial" w:cs="Arial"/>
          <w:bCs/>
          <w:lang w:val="ru-RU"/>
        </w:rPr>
        <w:t>Обґрунтовується необхідність нової парадигми розвитку України. Радикальні зміни в нашій країні можуть відбутися за відмови від неоліберальної теорії та запровадження нової економічної політики, що базуватиметься на вимогах інформаційно-технологічної революції та адекватної їй економічній політиці, метою якої є розвиток та реалізація здібностей людини, а не гроші й прибуток. Дані питання мають велике теоретичне і практичне значення. Від них залежить майбутнє нашої країни, що вимагає пильної уваги вчених, зокрема представників суспільних наук.</w:t>
      </w:r>
    </w:p>
    <w:p w:rsidR="00C66BAC" w:rsidRDefault="00C66BAC" w:rsidP="00C66BAC">
      <w:pPr>
        <w:ind w:firstLine="284"/>
        <w:jc w:val="both"/>
        <w:rPr>
          <w:rFonts w:ascii="Arial" w:hAnsi="Arial" w:cs="Arial"/>
          <w:bCs/>
          <w:lang w:val="ru-RU"/>
        </w:rPr>
      </w:pPr>
    </w:p>
    <w:p w:rsidR="00C66BAC" w:rsidRDefault="00C66BAC" w:rsidP="00C66BAC">
      <w:pPr>
        <w:ind w:firstLine="284"/>
        <w:jc w:val="both"/>
        <w:rPr>
          <w:rFonts w:ascii="Arial" w:hAnsi="Arial" w:cs="Arial"/>
          <w:bCs/>
          <w:lang w:val="ru-RU"/>
        </w:rPr>
      </w:pPr>
      <w:r w:rsidRPr="00301E77">
        <w:rPr>
          <w:rFonts w:ascii="Arial" w:hAnsi="Arial" w:cs="Arial"/>
          <w:b/>
          <w:bCs/>
          <w:lang w:val="ru-RU"/>
        </w:rPr>
        <w:t xml:space="preserve">Мортіков В. В. Надлишкова робоча сила в організації </w:t>
      </w:r>
      <w:r w:rsidRPr="00301E77">
        <w:rPr>
          <w:rFonts w:ascii="Arial" w:hAnsi="Arial" w:cs="Arial"/>
          <w:bCs/>
          <w:lang w:val="ru-RU"/>
        </w:rPr>
        <w:t>/ В. В. Мортіков // Економіка України. – 2020. – № 5. – С.</w:t>
      </w:r>
      <w:r w:rsidRPr="00301E77">
        <w:t xml:space="preserve"> </w:t>
      </w:r>
      <w:r w:rsidRPr="00301E77">
        <w:rPr>
          <w:rFonts w:ascii="Arial" w:hAnsi="Arial" w:cs="Arial"/>
          <w:bCs/>
          <w:lang w:val="ru-RU"/>
        </w:rPr>
        <w:t>41-52</w:t>
      </w:r>
      <w:r>
        <w:rPr>
          <w:rFonts w:ascii="Arial" w:hAnsi="Arial" w:cs="Arial"/>
          <w:bCs/>
          <w:lang w:val="ru-RU"/>
        </w:rPr>
        <w:t>.</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Проведено аналіз утримування надлишкової робочої сили організацією з макроекономічної та управлінської точок зору. Показано, чому організація часто вирішує зберегти працівників за відсутності для них продуктивної зайнятості.</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Серед індикаторів надлишкової зайнятості використано: частину персоналу, яка вимушено перейшла на скорочений час роботи; частину персоналу, відправлену в адміністративні відпустки; різну динамику зайнятості й ВВП. Порівняння змін ВВП і зайнятості у 2006–2018 рр. в Україні дозволяє нам зафіксувати надлишкову робочу силу. Зайнятість повільно пристосовується до спадів: організації скорочують більше працівників у довгостроковій, ніж у короткостроковій перспективі.</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Існує декілька причин появи надлишкових працівників в організації: передбачуване зростання попиту; прогресивні організаційні, технологічні зміни. Збереження надлишкових робочих місць і працівників може бути також пояснено неекономічними причинами.</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Роботодавці часто утримуються від звільнення надлишкових співробітників через високі трансакційні витрати. Практика утримування надлишкових працівників під час негативних шоків дозволяє організаціям уникнути витрат наймання і навчання у випадку наступного поліпшення економічної ситуації. Уточнено відмінність витрат адаптування і витрат нерівноваги.</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На утворення надлишкової робочої сили значний вплив справляє внутріорганізаційна мобільність фахівців.</w:t>
      </w:r>
    </w:p>
    <w:p w:rsidR="00C66BAC" w:rsidRDefault="00C66BAC" w:rsidP="00C66BAC">
      <w:pPr>
        <w:ind w:firstLine="284"/>
        <w:jc w:val="both"/>
        <w:rPr>
          <w:rFonts w:ascii="Arial" w:hAnsi="Arial" w:cs="Arial"/>
          <w:bCs/>
          <w:lang w:val="ru-RU"/>
        </w:rPr>
      </w:pPr>
      <w:r w:rsidRPr="00301E77">
        <w:rPr>
          <w:rFonts w:ascii="Arial" w:hAnsi="Arial" w:cs="Arial"/>
          <w:bCs/>
          <w:lang w:val="ru-RU"/>
        </w:rPr>
        <w:lastRenderedPageBreak/>
        <w:t>Особливого значення набуває управління надлишковою робочою силою. Існують різні реакції на цей феномен: звільнення, переведення персоналу на скорочений робочий час, адміністративні відпустки, перенавчання, аутстаффінг, ранній вихід на пенсію. Менеджмент надлишкового персоналу включає кількісну і структурну оптимізацію цього персоналу протягом коротких і довгострокових періодів.</w:t>
      </w:r>
    </w:p>
    <w:p w:rsidR="00C66BAC" w:rsidRDefault="00C66BAC" w:rsidP="00C66BAC">
      <w:pPr>
        <w:ind w:firstLine="284"/>
        <w:jc w:val="both"/>
        <w:rPr>
          <w:rFonts w:ascii="Arial" w:hAnsi="Arial" w:cs="Arial"/>
          <w:bCs/>
          <w:lang w:val="ru-RU"/>
        </w:rPr>
      </w:pPr>
    </w:p>
    <w:p w:rsidR="00C66BAC" w:rsidRDefault="00C66BAC" w:rsidP="00C66BAC">
      <w:pPr>
        <w:ind w:firstLine="284"/>
        <w:jc w:val="both"/>
        <w:rPr>
          <w:rFonts w:ascii="Arial" w:hAnsi="Arial" w:cs="Arial"/>
          <w:bCs/>
          <w:lang w:val="ru-RU"/>
        </w:rPr>
      </w:pPr>
      <w:r w:rsidRPr="00301E77">
        <w:rPr>
          <w:rFonts w:ascii="Arial" w:hAnsi="Arial" w:cs="Arial"/>
          <w:b/>
          <w:bCs/>
          <w:lang w:val="ru-RU"/>
        </w:rPr>
        <w:t>Кушніренко О. М. Промисловість україни перед викликами індустрії 4.0: оцінка обмежень і завдання політики</w:t>
      </w:r>
      <w:r>
        <w:rPr>
          <w:rFonts w:ascii="Arial" w:hAnsi="Arial" w:cs="Arial"/>
          <w:bCs/>
          <w:lang w:val="ru-RU"/>
        </w:rPr>
        <w:t xml:space="preserve"> </w:t>
      </w:r>
      <w:r w:rsidRPr="00301E77">
        <w:rPr>
          <w:rFonts w:ascii="Arial" w:hAnsi="Arial" w:cs="Arial"/>
          <w:bCs/>
          <w:lang w:val="ru-RU"/>
        </w:rPr>
        <w:t>/ О. М. Кушніренко // Економіка України. – 2020. – № 5. – С.</w:t>
      </w:r>
      <w:r w:rsidRPr="00301E77">
        <w:t xml:space="preserve"> </w:t>
      </w:r>
      <w:r w:rsidRPr="00301E77">
        <w:rPr>
          <w:rFonts w:ascii="Arial" w:hAnsi="Arial" w:cs="Arial"/>
          <w:bCs/>
          <w:lang w:val="ru-RU"/>
        </w:rPr>
        <w:t>53-71</w:t>
      </w:r>
      <w:r>
        <w:rPr>
          <w:rFonts w:ascii="Arial" w:hAnsi="Arial" w:cs="Arial"/>
          <w:bCs/>
          <w:lang w:val="ru-RU"/>
        </w:rPr>
        <w:t>.</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На основі дослідження основних індикаторів, що характеризують внутрішні можливості промисловості України (динаміки науково-дослідної та інноваційної діяльності, високотехнологічного експорту, складових Глобального індексу конкурентоспроможності та Глобального інноваційного індексу), було визначено можливості й загрози для її інноваційних трансформацій у рамках Індустрії 4.0. Це дозволило обгрунтувати комплекс стимулюючих заходів для інноваційного оновлення промисловості України на рівні держави, бізнесу й суспільства.</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Виявлено ступінь готовності української промисловості до технологічних викликів Індустрії 4.0 та розроблено дієві заходи стимулювання інноваційних трансформацій в існуючих умовах. Досягненню цьому сприятимуть такі заходи: оцінка внутрішніх можливостей промисловості України для розвитку технологій в Індустрії 4.0; розробка пропозицій щодо вдосконалення механізмів інноваційного оновлення промисловості України з урахуванням глобальних зовнішніх і внутрішніх викликів.</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Використано загальнонаукові методи (абстрактно-логічний, індукції та дедукції, системного підходу; аналізу і синтезу), а також спеціальні методи дослідження: статистичних порівнянь, групування, вибірки (для ідентифікації ключових важелів ефективної трансформації виробничих систем під впливом цифрових технологій).</w:t>
      </w:r>
    </w:p>
    <w:p w:rsidR="00C66BAC" w:rsidRDefault="00C66BAC" w:rsidP="00C66BAC">
      <w:pPr>
        <w:ind w:firstLine="284"/>
        <w:jc w:val="both"/>
        <w:rPr>
          <w:rFonts w:ascii="Arial" w:hAnsi="Arial" w:cs="Arial"/>
          <w:bCs/>
          <w:lang w:val="ru-RU"/>
        </w:rPr>
      </w:pPr>
      <w:r w:rsidRPr="00301E77">
        <w:rPr>
          <w:rFonts w:ascii="Arial" w:hAnsi="Arial" w:cs="Arial"/>
          <w:bCs/>
          <w:lang w:val="ru-RU"/>
        </w:rPr>
        <w:t>Дослідження показали, що в умовах глобальних викликів, зокрема боротьби з пандемією короновірусу, для України, як і для всього світу, важливим є максимальне забезпечення здоров’я громадян при недопущенні економічної катастрофи. Вагому роль при цьому може відіграти українська промисловість, яка хоч і перебуває у складних умовах, має достатній підприємницький потенціал. Для його реалізації важливими є: створення ефективної системи державної підтримки, яка б передбачала збільшення обсягів витрат на науку і освіту; популяризація наукової діяльності; підвищення соціальної відповідальності виробників; посилення спроможності інституцій кібербезпеки; створення умов для підготовки кадрів з цифровими навичками; формування інноваційних екосистем у різних галузях економіки</w:t>
      </w:r>
      <w:r>
        <w:rPr>
          <w:rFonts w:ascii="Arial" w:hAnsi="Arial" w:cs="Arial"/>
          <w:bCs/>
          <w:lang w:val="ru-RU"/>
        </w:rPr>
        <w:t>.</w:t>
      </w:r>
    </w:p>
    <w:p w:rsidR="00C66BAC" w:rsidRPr="00301E77" w:rsidRDefault="00C66BAC" w:rsidP="00C66BAC">
      <w:pPr>
        <w:ind w:firstLine="284"/>
        <w:jc w:val="both"/>
        <w:rPr>
          <w:rFonts w:ascii="Arial" w:hAnsi="Arial" w:cs="Arial"/>
          <w:bCs/>
          <w:lang w:val="ru-RU"/>
        </w:rPr>
      </w:pPr>
    </w:p>
    <w:p w:rsidR="00C66BAC" w:rsidRDefault="00C66BAC" w:rsidP="00C66BAC">
      <w:pPr>
        <w:ind w:firstLine="284"/>
        <w:jc w:val="both"/>
        <w:rPr>
          <w:rFonts w:ascii="Arial" w:hAnsi="Arial" w:cs="Arial"/>
          <w:bCs/>
          <w:lang w:val="ru-RU"/>
        </w:rPr>
      </w:pPr>
      <w:r w:rsidRPr="00301E77">
        <w:rPr>
          <w:rFonts w:ascii="Arial" w:hAnsi="Arial" w:cs="Arial"/>
          <w:b/>
          <w:bCs/>
          <w:lang w:val="ru-RU"/>
        </w:rPr>
        <w:t>Бублик Є. О. Зміна монетарних політик центробанків провідних країн та їх наслідки для країн з ринками, що розвиваються</w:t>
      </w:r>
      <w:r>
        <w:rPr>
          <w:rFonts w:ascii="Arial" w:hAnsi="Arial" w:cs="Arial"/>
          <w:bCs/>
          <w:lang w:val="ru-RU"/>
        </w:rPr>
        <w:t xml:space="preserve"> </w:t>
      </w:r>
      <w:r w:rsidRPr="00301E77">
        <w:rPr>
          <w:rFonts w:ascii="Arial" w:hAnsi="Arial" w:cs="Arial"/>
          <w:bCs/>
          <w:lang w:val="ru-RU"/>
        </w:rPr>
        <w:t>/ Є. О. Бублик // Економіка України. – 2020. – № 5. – С.</w:t>
      </w:r>
      <w:r w:rsidRPr="00301E77">
        <w:t xml:space="preserve"> </w:t>
      </w:r>
      <w:r w:rsidRPr="00301E77">
        <w:rPr>
          <w:rFonts w:ascii="Arial" w:hAnsi="Arial" w:cs="Arial"/>
          <w:bCs/>
          <w:lang w:val="ru-RU"/>
        </w:rPr>
        <w:t>72-84</w:t>
      </w:r>
      <w:r>
        <w:rPr>
          <w:rFonts w:ascii="Arial" w:hAnsi="Arial" w:cs="Arial"/>
          <w:bCs/>
          <w:lang w:val="ru-RU"/>
        </w:rPr>
        <w:t>.</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Досліджено особливості трансмісії чинників фінансової нестабільності для економік, що розвиваються, під впливом проявів згортання нетрадиційної монетарної політики в країнах економічного ядра. Відзначено, що такий вплив проявляється на ринках, що формуються, навіть на етапі очікувань через офіційні повідомлення. Основними факторами трансмісії негативного впливу є підвищення волатильності ПІІ та падіння цін на сировинних ринках.</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На етапі розгортання кількісного пом’якшення малі відкриті економіки накопичили значні обсяги ліквідності у вигляді портфельних і прямих іноземних інвестицій. Під впливом очікуваного підвищення процентних ставок у країнах економічного ядра зростають загрози відпливу капіталу з ринків економік, що розвиваються. На цьому етапі рух потоків капіталу прогнозувати набагато складніше, оскільки великою мірою його визначають короткострокові інструменти, поведінкові фактори та ринкові очікування. У цих умовах особливої актуальності набуває питання зміцнення інституційної спроможності монетарних регуляторів малих відкритих економік адекватно реагувати на швидкі зміни процесів.</w:t>
      </w:r>
    </w:p>
    <w:p w:rsidR="00C66BAC" w:rsidRDefault="00C66BAC" w:rsidP="00C66BAC">
      <w:pPr>
        <w:ind w:firstLine="284"/>
        <w:jc w:val="both"/>
        <w:rPr>
          <w:rFonts w:ascii="Arial" w:hAnsi="Arial" w:cs="Arial"/>
          <w:bCs/>
          <w:lang w:val="ru-RU"/>
        </w:rPr>
      </w:pPr>
      <w:r w:rsidRPr="00301E77">
        <w:rPr>
          <w:rFonts w:ascii="Arial" w:hAnsi="Arial" w:cs="Arial"/>
          <w:bCs/>
          <w:lang w:val="ru-RU"/>
        </w:rPr>
        <w:t>Не допускаючи надмірного обмеження фінансової і торговельної відкритості, регулятори повинні зосередити увагу на розвитку політик макропруденційного та валютного регулювання, а також комунікаційної політики. Сучасний інструментарій макропруденційного регулювання відкриває перспективи зміцнення пруденційної функції регуляторів з фокусуванням на ідентифікації чинників системного ризику та узгодженні політик щодо запобігання їм. На особливу увагу заслуговує розвиток валютного регулювання як необхідного механізму обмеження проциклічного руху міжнародного капіталу. Для України питання необхідності модернізації підходів до фінансової відкритості так само зумовлене високими ризиками проциклічного впливу міжнародних потоків капіталу з огляду на невизначеність перспектив процентних ставок. За таких умов політика фінансової лібералізації суперечить сучасним тенденціям монетарного регулювання і сприяє трансмісії волатильних МПК і монетарних шоків.</w:t>
      </w:r>
    </w:p>
    <w:p w:rsidR="00C66BAC" w:rsidRDefault="00C66BAC" w:rsidP="00C66BAC">
      <w:pPr>
        <w:ind w:firstLine="284"/>
        <w:jc w:val="both"/>
        <w:rPr>
          <w:rFonts w:ascii="Arial" w:hAnsi="Arial" w:cs="Arial"/>
          <w:bCs/>
          <w:lang w:val="ru-RU"/>
        </w:rPr>
      </w:pPr>
    </w:p>
    <w:p w:rsidR="00C66BAC" w:rsidRDefault="00C66BAC" w:rsidP="00C66BAC">
      <w:pPr>
        <w:ind w:firstLine="284"/>
        <w:jc w:val="both"/>
        <w:rPr>
          <w:rFonts w:ascii="Arial" w:hAnsi="Arial" w:cs="Arial"/>
          <w:bCs/>
          <w:lang w:val="ru-RU"/>
        </w:rPr>
      </w:pPr>
      <w:r w:rsidRPr="00301E77">
        <w:rPr>
          <w:rFonts w:ascii="Arial" w:hAnsi="Arial" w:cs="Arial"/>
          <w:b/>
          <w:bCs/>
          <w:lang w:val="ru-RU"/>
        </w:rPr>
        <w:t>Васильєв О. М. Роль механізмів прийняття рішень у встановленні ринкової рівноваги</w:t>
      </w:r>
      <w:r>
        <w:rPr>
          <w:rFonts w:ascii="Arial" w:hAnsi="Arial" w:cs="Arial"/>
          <w:bCs/>
          <w:lang w:val="ru-RU"/>
        </w:rPr>
        <w:t xml:space="preserve"> </w:t>
      </w:r>
      <w:r w:rsidRPr="00301E77">
        <w:rPr>
          <w:rFonts w:ascii="Arial" w:hAnsi="Arial" w:cs="Arial"/>
          <w:bCs/>
          <w:lang w:val="ru-RU"/>
        </w:rPr>
        <w:t xml:space="preserve">/ О. М. Васильєв // </w:t>
      </w:r>
      <w:bookmarkStart w:id="0" w:name="_GoBack"/>
      <w:r w:rsidRPr="00301E77">
        <w:rPr>
          <w:rFonts w:ascii="Arial" w:hAnsi="Arial" w:cs="Arial"/>
          <w:bCs/>
          <w:lang w:val="ru-RU"/>
        </w:rPr>
        <w:t xml:space="preserve">Економіка України. – 2020. – № 5. </w:t>
      </w:r>
      <w:bookmarkEnd w:id="0"/>
      <w:r w:rsidRPr="00301E77">
        <w:rPr>
          <w:rFonts w:ascii="Arial" w:hAnsi="Arial" w:cs="Arial"/>
          <w:bCs/>
          <w:lang w:val="ru-RU"/>
        </w:rPr>
        <w:t>– С.</w:t>
      </w:r>
      <w:r w:rsidRPr="00301E77">
        <w:t xml:space="preserve"> </w:t>
      </w:r>
      <w:r w:rsidRPr="00301E77">
        <w:rPr>
          <w:rFonts w:ascii="Arial" w:hAnsi="Arial" w:cs="Arial"/>
          <w:bCs/>
          <w:lang w:val="ru-RU"/>
        </w:rPr>
        <w:t>85-94</w:t>
      </w:r>
      <w:r>
        <w:rPr>
          <w:rFonts w:ascii="Arial" w:hAnsi="Arial" w:cs="Arial"/>
          <w:bCs/>
          <w:lang w:val="ru-RU"/>
        </w:rPr>
        <w:t>.</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lastRenderedPageBreak/>
        <w:t>Проаналізовано вплив механізмів прийняття рішень економічними агентами на встановлення рівноваги на ринку. Зокрема, розглядається проблема визначення рівноважної ціни за неповної інформації про товар і коли поведінка споживачів не є раціональною. Крім іншого, використовуються підходи, характерні для інституціональної економічної теорії.</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Запропоновано дві моделі встановлення рівноважної ціни на ринку товарів, на основі яких з’ясовано вплив механізмів прийняття рішень на параметри рівноваги. У першій моделі розглядаються два режими прийняття рішення ринковими агентами. В одному випадку агенти мають повну інформацію про товар, а в іншому для оцінки його якості використовують математичне сподівання для корисності товару, яка розглядається як випадкова величина з відомою функцією розподілу. Показано, що режим прийняття рішень якісно впливає на рівноважну ціну товару на ринку. Зокрема, у цьому випадку рівноважна ціна по-різному залежить від сукупного доходу економічних агентів.</w:t>
      </w:r>
    </w:p>
    <w:p w:rsidR="00C66BAC" w:rsidRPr="00301E77" w:rsidRDefault="00C66BAC" w:rsidP="00C66BAC">
      <w:pPr>
        <w:ind w:firstLine="284"/>
        <w:jc w:val="both"/>
        <w:rPr>
          <w:rFonts w:ascii="Arial" w:hAnsi="Arial" w:cs="Arial"/>
          <w:bCs/>
          <w:lang w:val="ru-RU"/>
        </w:rPr>
      </w:pPr>
      <w:r w:rsidRPr="00301E77">
        <w:rPr>
          <w:rFonts w:ascii="Arial" w:hAnsi="Arial" w:cs="Arial"/>
          <w:bCs/>
          <w:lang w:val="ru-RU"/>
        </w:rPr>
        <w:t>Друга модель описує цінову конкуренцію двох фірм, які пропонують на ринку ідентичні товари. У ній поведінка економічних агентів при прийнятті рішень моделюється як така, що є раціональною з певною ймовірністю. Показано, що за наявності агентів з таким типом обмежено-раціональної поведінки на ринку може існувати дві ціни на один і той самий товар. За таких обставин фірма, яка програє у ціновій конкуренції, не покидає ринок, а лише втрачає частину покупців.</w:t>
      </w:r>
    </w:p>
    <w:p w:rsidR="00E5034E" w:rsidRDefault="00E5034E"/>
    <w:sectPr w:rsidR="00E5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73"/>
    <w:rsid w:val="002A0F73"/>
    <w:rsid w:val="00C66BAC"/>
    <w:rsid w:val="00E5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3A357-A9A2-47D8-A41C-7F6F0F12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BA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9705</Characters>
  <Application>Microsoft Office Word</Application>
  <DocSecurity>0</DocSecurity>
  <Lines>80</Lines>
  <Paragraphs>22</Paragraphs>
  <ScaleCrop>false</ScaleCrop>
  <Company>SPecialiST RePack</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2020-06-23T08:24:00Z</dcterms:created>
  <dcterms:modified xsi:type="dcterms:W3CDTF">2020-06-23T08:24:00Z</dcterms:modified>
</cp:coreProperties>
</file>