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95" w:rsidRDefault="001F5295" w:rsidP="001F5295">
      <w:pPr>
        <w:ind w:firstLine="284"/>
        <w:jc w:val="both"/>
        <w:rPr>
          <w:rFonts w:ascii="Arial" w:hAnsi="Arial" w:cs="Arial"/>
          <w:bCs/>
          <w:lang w:val="ru-RU"/>
        </w:rPr>
      </w:pPr>
      <w:r w:rsidRPr="00FE764F">
        <w:rPr>
          <w:rFonts w:ascii="Arial" w:hAnsi="Arial" w:cs="Arial"/>
          <w:b/>
          <w:bCs/>
          <w:i/>
          <w:lang w:val="ru-RU"/>
        </w:rPr>
        <w:t>Статистика України = Statistics of Ukraine : науково-інформаційний журнал / Державний ком. статистики України, НДІ статистики Держкомстату України ; ред. О. Васєчко. – Київ : [б. в.], 1998. – Виходить щоквартально</w:t>
      </w:r>
      <w:r w:rsidRPr="00FE764F">
        <w:rPr>
          <w:rFonts w:ascii="Arial" w:hAnsi="Arial" w:cs="Arial"/>
          <w:bCs/>
          <w:lang w:val="ru-RU"/>
        </w:rPr>
        <w:t>.</w:t>
      </w:r>
    </w:p>
    <w:p w:rsidR="001F5295" w:rsidRDefault="001F5295" w:rsidP="001F5295">
      <w:pPr>
        <w:ind w:firstLine="284"/>
        <w:jc w:val="both"/>
        <w:rPr>
          <w:rFonts w:ascii="Arial" w:hAnsi="Arial" w:cs="Arial"/>
          <w:bCs/>
          <w:lang w:val="ru-RU"/>
        </w:rPr>
      </w:pPr>
    </w:p>
    <w:p w:rsidR="001F5295" w:rsidRDefault="001F5295" w:rsidP="001F5295">
      <w:pPr>
        <w:ind w:firstLine="284"/>
        <w:jc w:val="center"/>
        <w:rPr>
          <w:rFonts w:ascii="Arial" w:hAnsi="Arial" w:cs="Arial"/>
          <w:b/>
          <w:bCs/>
          <w:i/>
        </w:rPr>
      </w:pPr>
      <w:r w:rsidRPr="00EC6454">
        <w:rPr>
          <w:rFonts w:ascii="Arial" w:hAnsi="Arial" w:cs="Arial"/>
          <w:b/>
          <w:bCs/>
          <w:i/>
        </w:rPr>
        <w:t>Статистика України. – 2020. – № 1.</w:t>
      </w:r>
    </w:p>
    <w:p w:rsidR="001F5295" w:rsidRDefault="001F5295" w:rsidP="001F5295">
      <w:pPr>
        <w:ind w:firstLine="284"/>
        <w:jc w:val="center"/>
        <w:rPr>
          <w:rFonts w:ascii="Arial" w:hAnsi="Arial" w:cs="Arial"/>
          <w:b/>
          <w:bCs/>
          <w:i/>
        </w:rPr>
      </w:pPr>
    </w:p>
    <w:p w:rsidR="001F5295" w:rsidRPr="00EC6454" w:rsidRDefault="001F5295" w:rsidP="001F5295">
      <w:pPr>
        <w:ind w:firstLine="284"/>
        <w:jc w:val="both"/>
        <w:rPr>
          <w:rFonts w:ascii="Arial" w:hAnsi="Arial" w:cs="Arial"/>
          <w:bCs/>
        </w:rPr>
      </w:pPr>
      <w:r w:rsidRPr="00EC6454">
        <w:rPr>
          <w:rFonts w:ascii="Arial" w:hAnsi="Arial" w:cs="Arial"/>
          <w:b/>
          <w:bCs/>
        </w:rPr>
        <w:t>Заєць, С. В. Якість офіційної статистичної інформації: підходи та міжнародна практика оцінювання</w:t>
      </w:r>
      <w:r w:rsidRPr="00EC6454">
        <w:rPr>
          <w:rFonts w:ascii="Arial" w:hAnsi="Arial" w:cs="Arial"/>
          <w:bCs/>
        </w:rPr>
        <w:t xml:space="preserve"> / С. В. Заєць // Статистика України. – 2020. – № 1. – </w:t>
      </w:r>
      <w:r w:rsidRPr="00EC6454">
        <w:rPr>
          <w:rFonts w:ascii="Arial" w:hAnsi="Arial" w:cs="Arial"/>
          <w:bCs/>
          <w:lang w:val="ru-RU"/>
        </w:rPr>
        <w:t>C</w:t>
      </w:r>
      <w:r w:rsidRPr="00EC6454">
        <w:rPr>
          <w:rFonts w:ascii="Arial" w:hAnsi="Arial" w:cs="Arial"/>
          <w:bCs/>
        </w:rPr>
        <w:t>. 4-15.</w:t>
      </w:r>
    </w:p>
    <w:p w:rsidR="001F5295" w:rsidRPr="00EC6454" w:rsidRDefault="001F5295" w:rsidP="001F5295">
      <w:pPr>
        <w:ind w:firstLine="284"/>
        <w:jc w:val="both"/>
        <w:rPr>
          <w:rFonts w:ascii="Arial" w:hAnsi="Arial" w:cs="Arial"/>
          <w:bCs/>
          <w:lang w:val="ru-RU"/>
        </w:rPr>
      </w:pPr>
      <w:r w:rsidRPr="00EC6454">
        <w:rPr>
          <w:rFonts w:ascii="Arial" w:hAnsi="Arial" w:cs="Arial"/>
          <w:bCs/>
          <w:lang w:val="ru-RU"/>
        </w:rPr>
        <w:t>Окреслено роль статистичних даних для формування економічної та соціальної політики, розвитку державного та приватного сектору економіки, міжнародних відносин. Зазначено, що результати глобальної оцінки вітчизняної статистичної системи свідчать про використання в органах державної статистики європейських стандартів політики у сфері якості статистичної інформації. Разом з тим вказано на існування проблем у вітчизняній статистичній діяльності, що потребують коригування і пов’язані зі значним навантаженням на респондентів, низькою якістю первинних даних та ін.</w:t>
      </w:r>
    </w:p>
    <w:p w:rsidR="001F5295" w:rsidRPr="00EC6454" w:rsidRDefault="001F5295" w:rsidP="001F5295">
      <w:pPr>
        <w:ind w:firstLine="284"/>
        <w:jc w:val="both"/>
        <w:rPr>
          <w:rFonts w:ascii="Arial" w:hAnsi="Arial" w:cs="Arial"/>
          <w:bCs/>
          <w:lang w:val="ru-RU"/>
        </w:rPr>
      </w:pPr>
      <w:r w:rsidRPr="00EC6454">
        <w:rPr>
          <w:rFonts w:ascii="Arial" w:hAnsi="Arial" w:cs="Arial"/>
          <w:bCs/>
          <w:lang w:val="ru-RU"/>
        </w:rPr>
        <w:t>Досліджено методологічні засади та практичні питання моніторингу статистичного потенціалу національних статистичних систем крізь призму якості процесів виробництва статистичної інформації, запропоновані консорціумом “Партнерство у сфері статистики в цілях розвитку у ХХІ столітті”. Наведено 14 інструментів оцінювання статистичного потенціалу, що використовуються в міжнародній статистичній практиці для вимірювання й оцінки різних аспектів національних статистичних даних, включаючи продуктивність статистичних установ та якість їх результатів.</w:t>
      </w:r>
    </w:p>
    <w:p w:rsidR="001F5295" w:rsidRPr="00EC6454" w:rsidRDefault="001F5295" w:rsidP="001F5295">
      <w:pPr>
        <w:ind w:firstLine="284"/>
        <w:jc w:val="both"/>
        <w:rPr>
          <w:rFonts w:ascii="Arial" w:hAnsi="Arial" w:cs="Arial"/>
          <w:bCs/>
          <w:lang w:val="ru-RU"/>
        </w:rPr>
      </w:pPr>
      <w:r w:rsidRPr="00EC6454">
        <w:rPr>
          <w:rFonts w:ascii="Arial" w:hAnsi="Arial" w:cs="Arial"/>
          <w:bCs/>
          <w:lang w:val="ru-RU"/>
        </w:rPr>
        <w:t>Розглянуто багатовимірний індикатор статистичного потенціалу (SCI) від Світового банку, діагностична рамка якого оцінює статистичну методологію, джерело даних, періодичність і своєчасність надходження низки визначених показників, що в цілому характеризують виробництво статистичної продукції в країні та узгоджених з окремими глобальними індикаторами Цілей сталого розвитку. Проаналізовано динаміку статистичного потенціалу національної статистичної системи та місце України серед 140 країн, що розвиваються, які запозичують кошти у Міжнародного банку реконструкції та розвитку. Показано, що зниження рівня статистичного потенціалу України пов’язано з такими складовими: джерела даних; періодичність та своєчасність.</w:t>
      </w:r>
    </w:p>
    <w:p w:rsidR="001F5295" w:rsidRDefault="001F5295" w:rsidP="001F5295">
      <w:pPr>
        <w:ind w:firstLine="284"/>
        <w:jc w:val="both"/>
        <w:rPr>
          <w:rFonts w:ascii="Arial" w:hAnsi="Arial" w:cs="Arial"/>
          <w:bCs/>
          <w:lang w:val="ru-RU"/>
        </w:rPr>
      </w:pPr>
      <w:r w:rsidRPr="00EC6454">
        <w:rPr>
          <w:rFonts w:ascii="Arial" w:hAnsi="Arial" w:cs="Arial"/>
          <w:bCs/>
          <w:lang w:val="ru-RU"/>
        </w:rPr>
        <w:t>Для покращення стану діяльності та посилення інституційної спроможності існуючої статистичної системи запропоновано враховувати показники оцінки та моніторингу статистичного потенціалу у методологічній та практичній діяльності органів державної статистики. Обґрунтовано необхідність поліпшення якості, доступності та порівнянності офіційної статистичної інформації і запропоновано відповідно заходи.</w:t>
      </w:r>
    </w:p>
    <w:p w:rsidR="001F5295" w:rsidRDefault="001F5295" w:rsidP="001F5295">
      <w:pPr>
        <w:ind w:firstLine="284"/>
        <w:jc w:val="both"/>
        <w:rPr>
          <w:rFonts w:ascii="Arial" w:hAnsi="Arial" w:cs="Arial"/>
          <w:bCs/>
          <w:lang w:val="ru-RU"/>
        </w:rPr>
      </w:pPr>
    </w:p>
    <w:p w:rsidR="001F5295" w:rsidRPr="00C45DE8" w:rsidRDefault="001F5295" w:rsidP="001F5295">
      <w:pPr>
        <w:ind w:firstLine="284"/>
        <w:jc w:val="both"/>
        <w:rPr>
          <w:rFonts w:ascii="Arial" w:hAnsi="Arial" w:cs="Arial"/>
          <w:bCs/>
          <w:spacing w:val="-6"/>
          <w:lang w:val="ru-RU"/>
        </w:rPr>
      </w:pPr>
      <w:r w:rsidRPr="00C45DE8">
        <w:rPr>
          <w:rFonts w:ascii="Arial" w:hAnsi="Arial" w:cs="Arial"/>
          <w:b/>
          <w:bCs/>
          <w:spacing w:val="-6"/>
          <w:lang w:val="ru-RU"/>
        </w:rPr>
        <w:t>Саріогло</w:t>
      </w:r>
      <w:r>
        <w:rPr>
          <w:rFonts w:ascii="Arial" w:hAnsi="Arial" w:cs="Arial"/>
          <w:b/>
          <w:bCs/>
          <w:spacing w:val="-6"/>
          <w:lang w:val="ru-RU"/>
        </w:rPr>
        <w:t>,</w:t>
      </w:r>
      <w:r w:rsidRPr="00C45DE8">
        <w:rPr>
          <w:rFonts w:ascii="Arial" w:hAnsi="Arial" w:cs="Arial"/>
          <w:b/>
          <w:bCs/>
          <w:spacing w:val="-6"/>
          <w:lang w:val="ru-RU"/>
        </w:rPr>
        <w:t xml:space="preserve"> В. Г. Методичні аспекти непрямого оцінювання доходів домогосподарств при визначенні права на державну соціальну підтримку</w:t>
      </w:r>
      <w:r w:rsidRPr="00C45DE8">
        <w:rPr>
          <w:rFonts w:ascii="Arial" w:hAnsi="Arial" w:cs="Arial"/>
          <w:bCs/>
          <w:spacing w:val="-6"/>
          <w:lang w:val="ru-RU"/>
        </w:rPr>
        <w:t xml:space="preserve"> // Статистика України. – 2020. – № 1. – C. 16-23.</w:t>
      </w:r>
    </w:p>
    <w:p w:rsidR="001F5295" w:rsidRDefault="001F5295" w:rsidP="001F5295">
      <w:pPr>
        <w:ind w:firstLine="284"/>
        <w:jc w:val="both"/>
        <w:rPr>
          <w:rFonts w:ascii="Arial" w:hAnsi="Arial" w:cs="Arial"/>
          <w:bCs/>
          <w:lang w:val="ru-RU"/>
        </w:rPr>
      </w:pPr>
      <w:r w:rsidRPr="00174644">
        <w:rPr>
          <w:rFonts w:ascii="Arial" w:hAnsi="Arial" w:cs="Arial"/>
          <w:bCs/>
          <w:lang w:val="ru-RU"/>
        </w:rPr>
        <w:t>У статті висвітлюються методологічні засади побудови моделей для оперативної оцінки доходів населення, розглядаються питання інформаційного з</w:t>
      </w:r>
      <w:r>
        <w:rPr>
          <w:rFonts w:ascii="Arial" w:hAnsi="Arial" w:cs="Arial"/>
          <w:bCs/>
          <w:lang w:val="ru-RU"/>
        </w:rPr>
        <w:t>абезпечення моделювання та вико</w:t>
      </w:r>
      <w:r w:rsidRPr="00174644">
        <w:rPr>
          <w:rFonts w:ascii="Arial" w:hAnsi="Arial" w:cs="Arial"/>
          <w:bCs/>
          <w:lang w:val="ru-RU"/>
        </w:rPr>
        <w:t>ристання результатів оцінки доходів. Наводяться приклади розрахунків за пропонованими моделями.</w:t>
      </w:r>
    </w:p>
    <w:p w:rsidR="001F5295" w:rsidRDefault="001F5295" w:rsidP="001F5295">
      <w:pPr>
        <w:ind w:firstLine="284"/>
        <w:jc w:val="both"/>
        <w:rPr>
          <w:rFonts w:ascii="Arial" w:hAnsi="Arial" w:cs="Arial"/>
          <w:bCs/>
          <w:lang w:val="ru-RU"/>
        </w:rPr>
      </w:pPr>
    </w:p>
    <w:p w:rsidR="001F5295" w:rsidRPr="00EC6454" w:rsidRDefault="001F5295" w:rsidP="001F5295">
      <w:pPr>
        <w:ind w:firstLine="284"/>
        <w:jc w:val="both"/>
        <w:rPr>
          <w:rFonts w:ascii="Arial" w:hAnsi="Arial" w:cs="Arial"/>
          <w:bCs/>
          <w:lang w:val="ru-RU"/>
        </w:rPr>
      </w:pPr>
      <w:r w:rsidRPr="00EC6454">
        <w:rPr>
          <w:rFonts w:ascii="Arial" w:hAnsi="Arial" w:cs="Arial"/>
          <w:b/>
          <w:bCs/>
          <w:lang w:val="ru-RU"/>
        </w:rPr>
        <w:t>Васєчко, О. О. Екстремологія: поведінковий та кількісний аспекти</w:t>
      </w:r>
      <w:r w:rsidRPr="00EC6454">
        <w:rPr>
          <w:rFonts w:ascii="Arial" w:hAnsi="Arial" w:cs="Arial"/>
          <w:bCs/>
          <w:lang w:val="ru-RU"/>
        </w:rPr>
        <w:t xml:space="preserve"> </w:t>
      </w:r>
      <w:r>
        <w:rPr>
          <w:rFonts w:ascii="Arial" w:hAnsi="Arial" w:cs="Arial"/>
          <w:bCs/>
          <w:lang w:val="ru-RU"/>
        </w:rPr>
        <w:t>/</w:t>
      </w:r>
      <w:r w:rsidRPr="00EC6454">
        <w:t xml:space="preserve"> </w:t>
      </w:r>
      <w:r w:rsidRPr="00EC6454">
        <w:rPr>
          <w:rFonts w:ascii="Arial" w:hAnsi="Arial" w:cs="Arial"/>
          <w:bCs/>
          <w:lang w:val="ru-RU"/>
        </w:rPr>
        <w:t>О. О.</w:t>
      </w:r>
      <w:r>
        <w:rPr>
          <w:rFonts w:ascii="Arial" w:hAnsi="Arial" w:cs="Arial"/>
          <w:bCs/>
          <w:lang w:val="ru-RU"/>
        </w:rPr>
        <w:t xml:space="preserve"> </w:t>
      </w:r>
      <w:r w:rsidRPr="00EC6454">
        <w:rPr>
          <w:rFonts w:ascii="Arial" w:hAnsi="Arial" w:cs="Arial"/>
          <w:bCs/>
          <w:lang w:val="ru-RU"/>
        </w:rPr>
        <w:t>Васєчко, О. Ф. Четверіков // Статистика України. – 2020. – № 1. – C. 24–34.</w:t>
      </w:r>
    </w:p>
    <w:p w:rsidR="001F5295" w:rsidRDefault="001F5295" w:rsidP="001F5295">
      <w:pPr>
        <w:ind w:firstLine="284"/>
        <w:jc w:val="both"/>
        <w:rPr>
          <w:rFonts w:ascii="Arial" w:hAnsi="Arial" w:cs="Arial"/>
          <w:bCs/>
          <w:lang w:val="ru-RU"/>
        </w:rPr>
      </w:pPr>
      <w:r w:rsidRPr="00EC6454">
        <w:rPr>
          <w:rFonts w:ascii="Arial" w:hAnsi="Arial" w:cs="Arial"/>
          <w:bCs/>
          <w:lang w:val="ru-RU"/>
        </w:rPr>
        <w:t>Сучасна епоха характеризується систематичною кореляцією процесів створення багатства і виникнення нових, усе інтенсивніших соціальних ризиків. Глобалізаційні процеси, мінлива геополітична кон’юнктура, глобальні кліматичні зрушення, технологічний прогрес, які невпинно й немин</w:t>
      </w:r>
      <w:r>
        <w:rPr>
          <w:rFonts w:ascii="Arial" w:hAnsi="Arial" w:cs="Arial"/>
          <w:bCs/>
          <w:lang w:val="ru-RU"/>
        </w:rPr>
        <w:t>уче зміню</w:t>
      </w:r>
      <w:r w:rsidRPr="00EC6454">
        <w:rPr>
          <w:rFonts w:ascii="Arial" w:hAnsi="Arial" w:cs="Arial"/>
          <w:bCs/>
          <w:lang w:val="ru-RU"/>
        </w:rPr>
        <w:t>ють середовище нашого існування, посилюють стан невизначеності на усіх щаблях суспільного життя, чим спричинюють зростання соціальної і психологічної напруги. Це є додатковим джерелом екстремальних ризиків, що проявляються у виникненні екстремального с</w:t>
      </w:r>
      <w:r>
        <w:rPr>
          <w:rFonts w:ascii="Arial" w:hAnsi="Arial" w:cs="Arial"/>
          <w:bCs/>
          <w:lang w:val="ru-RU"/>
        </w:rPr>
        <w:t>ередовища та екстремальних ситуацій</w:t>
      </w:r>
      <w:r w:rsidRPr="00EC6454">
        <w:rPr>
          <w:rFonts w:ascii="Arial" w:hAnsi="Arial" w:cs="Arial"/>
          <w:bCs/>
          <w:lang w:val="ru-RU"/>
        </w:rPr>
        <w:t>. Виникає нагальна потреба опрацювання усталених парадигм як у психології, так і в суміжних та інших науках, в яких у той чи інший спосіб досліджується поняття “екстремальне”, а також їх перегляду з метою формування наукової синергетики для методологічного забезпечення підготовки населення до адаптації і ситуативних дій в екстремальних середовищі й ситуаціях. Це зумовлює високу актуальність екстремології як нового прикладного і міждисциплінарного наукового напряму. З урахуванням соціаль-ного запиту, вивчення наукових джерел і власного досвіду авторів екстремологія може бути визначена як система захисту населення й активної протидії в умовах виникнення екстремального середовища та екстремальних ситуацій. Для можливості створення такої дієвої с</w:t>
      </w:r>
      <w:r>
        <w:rPr>
          <w:rFonts w:ascii="Arial" w:hAnsi="Arial" w:cs="Arial"/>
          <w:bCs/>
          <w:lang w:val="ru-RU"/>
        </w:rPr>
        <w:t>истеми, особливо у частині керу</w:t>
      </w:r>
      <w:r w:rsidRPr="00EC6454">
        <w:rPr>
          <w:rFonts w:ascii="Arial" w:hAnsi="Arial" w:cs="Arial"/>
          <w:bCs/>
          <w:lang w:val="ru-RU"/>
        </w:rPr>
        <w:t>вання екстремальними ризиками та їх кількісного оцінювання, вбачається доцільним на нинішньому етапі залучення методів, які отримали розвиток у складі інших галузей знань, а саме, у ризикології та статистиці. Останнє, однак, не виключає дослідження можливостей подальшого посилення міжнаукової синергетики екстремології за рахунок залучення інших методів і практик</w:t>
      </w:r>
      <w:r>
        <w:rPr>
          <w:rFonts w:ascii="Arial" w:hAnsi="Arial" w:cs="Arial"/>
          <w:bCs/>
          <w:lang w:val="ru-RU"/>
        </w:rPr>
        <w:t>.</w:t>
      </w:r>
    </w:p>
    <w:p w:rsidR="001F5295" w:rsidRPr="00174644" w:rsidRDefault="001F5295" w:rsidP="001F5295">
      <w:pPr>
        <w:ind w:firstLine="284"/>
        <w:jc w:val="both"/>
        <w:rPr>
          <w:rFonts w:ascii="Arial" w:hAnsi="Arial" w:cs="Arial"/>
          <w:b/>
          <w:bCs/>
          <w:lang w:val="ru-RU"/>
        </w:rPr>
      </w:pPr>
    </w:p>
    <w:p w:rsidR="001F5295" w:rsidRPr="00174644" w:rsidRDefault="001F5295" w:rsidP="001F5295">
      <w:pPr>
        <w:ind w:firstLine="284"/>
        <w:jc w:val="both"/>
        <w:rPr>
          <w:rFonts w:ascii="Arial" w:hAnsi="Arial" w:cs="Arial"/>
          <w:bCs/>
          <w:lang w:val="ru-RU"/>
        </w:rPr>
      </w:pPr>
      <w:r w:rsidRPr="00174644">
        <w:rPr>
          <w:rFonts w:ascii="Arial" w:hAnsi="Arial" w:cs="Arial"/>
          <w:b/>
          <w:bCs/>
          <w:lang w:val="ru-RU"/>
        </w:rPr>
        <w:lastRenderedPageBreak/>
        <w:t>Гончаренко, Д. О. Нові підходи до оцінювання зовнішньої торгівлі високотехнологічними фармацев-тичними товарами (публікується англійською мовою)</w:t>
      </w:r>
      <w:r w:rsidRPr="00174644">
        <w:rPr>
          <w:rFonts w:ascii="Arial" w:hAnsi="Arial" w:cs="Arial"/>
          <w:bCs/>
          <w:lang w:val="ru-RU"/>
        </w:rPr>
        <w:t xml:space="preserve"> / Д. О. Гончаренко // Статистика України. – 2020. – № 1. – C. 35–41</w:t>
      </w:r>
      <w:r>
        <w:rPr>
          <w:rFonts w:ascii="Arial" w:hAnsi="Arial" w:cs="Arial"/>
          <w:bCs/>
          <w:lang w:val="ru-RU"/>
        </w:rPr>
        <w:t>.</w:t>
      </w:r>
    </w:p>
    <w:p w:rsidR="001F5295" w:rsidRDefault="001F5295" w:rsidP="001F5295">
      <w:pPr>
        <w:ind w:firstLine="284"/>
        <w:jc w:val="both"/>
        <w:rPr>
          <w:rFonts w:ascii="Arial" w:hAnsi="Arial" w:cs="Arial"/>
          <w:bCs/>
          <w:lang w:val="ru-RU"/>
        </w:rPr>
      </w:pPr>
      <w:r w:rsidRPr="00174644">
        <w:rPr>
          <w:rFonts w:ascii="Arial" w:hAnsi="Arial" w:cs="Arial"/>
          <w:bCs/>
          <w:lang w:val="ru-RU"/>
        </w:rPr>
        <w:t>Проаналізовано витрати на дослідження і розробки у фармацевтичній галузі на глобальному рівні за період 2010–2017 рр. Дві третини загальносвітових видатків галузі на ДіР припадає на 20 багатона-ціональних компаній, більшість із яких розташовані у США та ЄС. Україна має низький рівень фінан-сування науки, тому не може виробляти новітні фармацевтичні технології. Імпорт проміжних товарів для фармацевтичної промисловості є найбільш широко використовуваним та найвпливовішим каналом залучення передових технологій. Проаналізовано агрегацію високотехнологічних товарів за функціо-нальним призначенням: високотехнологічні капітальні товари, високотехнологічні проміжні та високо-технологічні споживчі товари. Це агрегування здійснено шляхом поєднання Класифікації за широкими економічними категоріями за SITC Rev. 4 (Відділу статистики ООН) та Агрегації високотехнологічних товарів за SITC Rev. 4 (Євростат). Базуючись на цьому підході, у статті визначено вихідні товари для ви-сокотехнологічного фармацевтичного виробництва та введено у науковий обіг поняття “високотехно-логічні</w:t>
      </w:r>
      <w:r>
        <w:rPr>
          <w:rFonts w:ascii="Arial" w:hAnsi="Arial" w:cs="Arial"/>
          <w:bCs/>
          <w:lang w:val="ru-RU"/>
        </w:rPr>
        <w:t xml:space="preserve"> проміжні фармацевтичні товари”</w:t>
      </w:r>
      <w:r w:rsidRPr="00174644">
        <w:rPr>
          <w:rFonts w:ascii="Arial" w:hAnsi="Arial" w:cs="Arial"/>
          <w:bCs/>
          <w:lang w:val="ru-RU"/>
        </w:rPr>
        <w:t>. Сформовано Перелік високотехнологічних фармацевтичних проміжних товарів за SITC Rev. 4 (17 позицій</w:t>
      </w:r>
      <w:r>
        <w:rPr>
          <w:rFonts w:ascii="Arial" w:hAnsi="Arial" w:cs="Arial"/>
          <w:bCs/>
          <w:lang w:val="ru-RU"/>
        </w:rPr>
        <w:t xml:space="preserve"> номенклатури з шістьма кодами)</w:t>
      </w:r>
      <w:r w:rsidRPr="00174644">
        <w:rPr>
          <w:rFonts w:ascii="Arial" w:hAnsi="Arial" w:cs="Arial"/>
          <w:bCs/>
          <w:lang w:val="ru-RU"/>
        </w:rPr>
        <w:t>. Цей ст</w:t>
      </w:r>
      <w:r>
        <w:rPr>
          <w:rFonts w:ascii="Arial" w:hAnsi="Arial" w:cs="Arial"/>
          <w:bCs/>
          <w:lang w:val="ru-RU"/>
        </w:rPr>
        <w:t>атистичний ін</w:t>
      </w:r>
      <w:r w:rsidRPr="00174644">
        <w:rPr>
          <w:rFonts w:ascii="Arial" w:hAnsi="Arial" w:cs="Arial"/>
          <w:bCs/>
          <w:lang w:val="ru-RU"/>
        </w:rPr>
        <w:t>струментарій вперше дозволив оцінити масштаби витрат національної економіки на передові зарубіжні технології, втілені в товарах, вихідних для фармацевтичної індустрії. У статті запропоновано нові по-казники: “коефіцієнт імпортозалежності фармацевтичного виробни</w:t>
      </w:r>
      <w:r>
        <w:rPr>
          <w:rFonts w:ascii="Arial" w:hAnsi="Arial" w:cs="Arial"/>
          <w:bCs/>
          <w:lang w:val="ru-RU"/>
        </w:rPr>
        <w:t>цтва”, “очищений” експорт фарма</w:t>
      </w:r>
      <w:r w:rsidRPr="00174644">
        <w:rPr>
          <w:rFonts w:ascii="Arial" w:hAnsi="Arial" w:cs="Arial"/>
          <w:bCs/>
          <w:lang w:val="ru-RU"/>
        </w:rPr>
        <w:t>цевтичних товарів” та “коефіцієнт покриття імпорту проміжних високотехнологічних фармацевтичних товарів”, а також подано формули їх обчислення і проведено розраху</w:t>
      </w:r>
      <w:r>
        <w:rPr>
          <w:rFonts w:ascii="Arial" w:hAnsi="Arial" w:cs="Arial"/>
          <w:bCs/>
          <w:lang w:val="ru-RU"/>
        </w:rPr>
        <w:t>нки за ними для Німеччини (силь</w:t>
      </w:r>
      <w:r w:rsidRPr="00174644">
        <w:rPr>
          <w:rFonts w:ascii="Arial" w:hAnsi="Arial" w:cs="Arial"/>
          <w:bCs/>
          <w:lang w:val="ru-RU"/>
        </w:rPr>
        <w:t>ного інноватора), Польщі (помірного інноватора) й України як країни з низьким рівнем технологічних інновацій у досліджуваній сфері. Авторка рекомендує використовувати запропоновані нові показники для статистичного моніторингу й аналізу ефективності заходів науково-</w:t>
      </w:r>
      <w:r>
        <w:rPr>
          <w:rFonts w:ascii="Arial" w:hAnsi="Arial" w:cs="Arial"/>
          <w:bCs/>
          <w:lang w:val="ru-RU"/>
        </w:rPr>
        <w:t>технічної та інноваційної полі</w:t>
      </w:r>
      <w:r w:rsidRPr="00174644">
        <w:rPr>
          <w:rFonts w:ascii="Arial" w:hAnsi="Arial" w:cs="Arial"/>
          <w:bCs/>
          <w:lang w:val="ru-RU"/>
        </w:rPr>
        <w:t>тики, спрямованих на створення конкурентоспроможного фармацевт</w:t>
      </w:r>
      <w:r>
        <w:rPr>
          <w:rFonts w:ascii="Arial" w:hAnsi="Arial" w:cs="Arial"/>
          <w:bCs/>
          <w:lang w:val="ru-RU"/>
        </w:rPr>
        <w:t>ичного виробництва на національ</w:t>
      </w:r>
      <w:r w:rsidRPr="00174644">
        <w:rPr>
          <w:rFonts w:ascii="Arial" w:hAnsi="Arial" w:cs="Arial"/>
          <w:bCs/>
          <w:lang w:val="ru-RU"/>
        </w:rPr>
        <w:t>ному рівні, зменшення залежності від імпорту та підвищення експортного потенціалу</w:t>
      </w:r>
      <w:r>
        <w:rPr>
          <w:rFonts w:ascii="Arial" w:hAnsi="Arial" w:cs="Arial"/>
          <w:bCs/>
          <w:lang w:val="ru-RU"/>
        </w:rPr>
        <w:t>.</w:t>
      </w:r>
    </w:p>
    <w:p w:rsidR="001F5295" w:rsidRDefault="001F5295" w:rsidP="001F5295">
      <w:pPr>
        <w:ind w:firstLine="284"/>
        <w:jc w:val="both"/>
        <w:rPr>
          <w:rFonts w:ascii="Arial" w:hAnsi="Arial" w:cs="Arial"/>
          <w:bCs/>
          <w:lang w:val="ru-RU"/>
        </w:rPr>
      </w:pPr>
    </w:p>
    <w:p w:rsidR="001F5295" w:rsidRPr="00EC6454" w:rsidRDefault="001F5295" w:rsidP="001F5295">
      <w:pPr>
        <w:ind w:firstLine="284"/>
        <w:jc w:val="both"/>
        <w:rPr>
          <w:rFonts w:ascii="Arial" w:hAnsi="Arial" w:cs="Arial"/>
          <w:bCs/>
          <w:lang w:val="ru-RU"/>
        </w:rPr>
      </w:pPr>
      <w:r w:rsidRPr="00174644">
        <w:rPr>
          <w:rFonts w:ascii="Arial" w:hAnsi="Arial" w:cs="Arial"/>
          <w:b/>
          <w:bCs/>
          <w:lang w:val="ru-RU"/>
        </w:rPr>
        <w:t>Іщук, С. О. Проблеми та особливості розвитку легкої промисловості в Україні: статистичний порівняльний аналіз із країнами Євросоюзу</w:t>
      </w:r>
      <w:r w:rsidRPr="00174644">
        <w:rPr>
          <w:rFonts w:ascii="Arial" w:hAnsi="Arial" w:cs="Arial"/>
          <w:bCs/>
          <w:lang w:val="ru-RU"/>
        </w:rPr>
        <w:t xml:space="preserve"> /</w:t>
      </w:r>
      <w:r w:rsidRPr="00174644">
        <w:t xml:space="preserve"> </w:t>
      </w:r>
      <w:r w:rsidRPr="00174644">
        <w:rPr>
          <w:rFonts w:ascii="Arial" w:hAnsi="Arial" w:cs="Arial"/>
          <w:bCs/>
          <w:lang w:val="ru-RU"/>
        </w:rPr>
        <w:t>С. О. Іщук,</w:t>
      </w:r>
      <w:r w:rsidRPr="00174644">
        <w:t xml:space="preserve"> </w:t>
      </w:r>
      <w:r w:rsidRPr="00174644">
        <w:rPr>
          <w:rFonts w:ascii="Arial" w:hAnsi="Arial" w:cs="Arial"/>
          <w:bCs/>
          <w:lang w:val="ru-RU"/>
        </w:rPr>
        <w:t>Л. Й. Созанський // Статистика України. – 2020. – № 1. – C. 42–50.</w:t>
      </w:r>
    </w:p>
    <w:p w:rsidR="001F5295" w:rsidRDefault="001F5295" w:rsidP="001F5295">
      <w:pPr>
        <w:ind w:firstLine="284"/>
        <w:jc w:val="both"/>
        <w:rPr>
          <w:rFonts w:ascii="Arial" w:hAnsi="Arial" w:cs="Arial"/>
          <w:bCs/>
          <w:lang w:val="ru-RU"/>
        </w:rPr>
      </w:pPr>
      <w:r w:rsidRPr="00174644">
        <w:rPr>
          <w:rFonts w:ascii="Arial" w:hAnsi="Arial" w:cs="Arial"/>
          <w:bCs/>
          <w:lang w:val="ru-RU"/>
        </w:rPr>
        <w:t>Легка промисловість – один із базових стратегічних сегментів національної економіки, який забезпечує майже 5% бюджетних надходжень і 2,6% українського товарного експорту, а отже, має значний потенціал для подальшого розвитку. Метою статті є визначення проблем та особливостей розвитку легкої промисловості в Україні за результатами порівняльного статистичного аналізу з країнами Євросоюзу. Як засвідчили результати досліджень, наслідком системної негативної динаміки виробництва продукції легкої промисловості стало відставання України, зокрема від Польщі – у 6 разів, від Німеччини – у 21 раз, а від Італії – у 73 рази. Легка промисловість України (як і провідних країн Євросоюзу) спеціалізується на виготовленні продукції кінцевого споживання, частка якої у структурі випуску становить понад 60%. Попри таку спеціалізацію, потреба внутрішнього ринку у товарах легкої промисловості майже на 90% покривається імпортом. Водночас значна експортоорієнтованість текстильних та інших виробництв легкої промисловості при високому рівні імпортозалежності національної економіки за усіма сегментами споживання продукції цих виробництв свідчить про наявність високої частки толінгових операцій в українському експорті. Розвиток української легкої промисловості стримує наявність таких ключових проблем: висока залежність від імпортних сировини, матеріалів і комплектуючих; низька цінова конкурентоспроможність продукції вітчизняного виробництва на внутрішньому ринку; зосередженість значної частини виробництв на виготовленні продукції з давальницької сировини. Звідси пріоритетним завданням державної промислової політики щодо підтримки розвитку легкої промисловості є відновлення (із подальшим нарощуванням) сировинного забезпечення текстильних та інших виробництв в Україні. Наступне завдання – створення конкурентних умов на внутрішньому ринку товарів легкої промисловості шляхом ліквідації тіньового товарообороту в цьому сегменті. Третім завданням є зменшення обсягів сировинного експорту, натомість нарощення поставок на зовнішні ринки високоякісної продукції з високою часткою доданої вартості.</w:t>
      </w:r>
    </w:p>
    <w:p w:rsidR="001F5295" w:rsidRDefault="001F5295" w:rsidP="001F5295">
      <w:pPr>
        <w:ind w:firstLine="284"/>
        <w:jc w:val="both"/>
        <w:rPr>
          <w:rFonts w:ascii="Arial" w:hAnsi="Arial" w:cs="Arial"/>
          <w:bCs/>
          <w:lang w:val="ru-RU"/>
        </w:rPr>
      </w:pPr>
    </w:p>
    <w:p w:rsidR="001F5295" w:rsidRPr="00174644" w:rsidRDefault="001F5295" w:rsidP="001F5295">
      <w:pPr>
        <w:ind w:firstLine="284"/>
        <w:jc w:val="both"/>
        <w:rPr>
          <w:rFonts w:ascii="Arial" w:hAnsi="Arial" w:cs="Arial"/>
          <w:bCs/>
          <w:lang w:val="ru-RU"/>
        </w:rPr>
      </w:pPr>
      <w:r w:rsidRPr="00174644">
        <w:rPr>
          <w:rFonts w:ascii="Arial" w:hAnsi="Arial" w:cs="Arial"/>
          <w:b/>
          <w:bCs/>
          <w:lang w:val="ru-RU"/>
        </w:rPr>
        <w:t>Колеснік</w:t>
      </w:r>
      <w:r>
        <w:rPr>
          <w:rFonts w:ascii="Arial" w:hAnsi="Arial" w:cs="Arial"/>
          <w:b/>
          <w:bCs/>
          <w:lang w:val="ru-RU"/>
        </w:rPr>
        <w:t>,</w:t>
      </w:r>
      <w:r w:rsidRPr="00174644">
        <w:rPr>
          <w:rFonts w:ascii="Arial" w:hAnsi="Arial" w:cs="Arial"/>
          <w:b/>
          <w:bCs/>
          <w:lang w:val="ru-RU"/>
        </w:rPr>
        <w:t xml:space="preserve"> Я. В. Статистична оцінка ефективності стратегічного управління банківською діяльністю</w:t>
      </w:r>
      <w:r>
        <w:rPr>
          <w:rFonts w:ascii="Arial" w:hAnsi="Arial" w:cs="Arial"/>
          <w:bCs/>
          <w:lang w:val="ru-RU"/>
        </w:rPr>
        <w:t xml:space="preserve"> / Я. В. </w:t>
      </w:r>
      <w:r w:rsidRPr="00174644">
        <w:rPr>
          <w:rFonts w:ascii="Arial" w:hAnsi="Arial" w:cs="Arial"/>
          <w:bCs/>
          <w:lang w:val="ru-RU"/>
        </w:rPr>
        <w:t>Колеснік // Статистика України. – 2020. – № 1. – C. 51–58.</w:t>
      </w:r>
    </w:p>
    <w:p w:rsidR="001F5295" w:rsidRPr="00174644" w:rsidRDefault="001F5295" w:rsidP="001F5295">
      <w:pPr>
        <w:ind w:firstLine="284"/>
        <w:jc w:val="both"/>
        <w:rPr>
          <w:rFonts w:ascii="Arial" w:hAnsi="Arial" w:cs="Arial"/>
          <w:bCs/>
          <w:lang w:val="ru-RU"/>
        </w:rPr>
      </w:pPr>
      <w:r w:rsidRPr="00174644">
        <w:rPr>
          <w:rFonts w:ascii="Arial" w:hAnsi="Arial" w:cs="Arial"/>
          <w:bCs/>
          <w:lang w:val="ru-RU"/>
        </w:rPr>
        <w:t>Розглянуті чинні тенденції на ринку банківських послуг, які зумовлюють важливість і необхідність дослідження питань підвищення ефективності діяльності комерційних банків. Визначено, що однією з основних умов формування розвиненої і ефективної банківської сист</w:t>
      </w:r>
      <w:r>
        <w:rPr>
          <w:rFonts w:ascii="Arial" w:hAnsi="Arial" w:cs="Arial"/>
          <w:bCs/>
          <w:lang w:val="ru-RU"/>
        </w:rPr>
        <w:t>еми країни є орієнтація на задо</w:t>
      </w:r>
      <w:r w:rsidRPr="00174644">
        <w:rPr>
          <w:rFonts w:ascii="Arial" w:hAnsi="Arial" w:cs="Arial"/>
          <w:bCs/>
          <w:lang w:val="ru-RU"/>
        </w:rPr>
        <w:t xml:space="preserve">волення потреб реальної економіки та населення в якісних банківських продуктах і послугах. У світлі інтеграції української фінансової системи у світову спільноту в умовах насичення ринку </w:t>
      </w:r>
      <w:r w:rsidRPr="00174644">
        <w:rPr>
          <w:rFonts w:ascii="Arial" w:hAnsi="Arial" w:cs="Arial"/>
          <w:bCs/>
          <w:lang w:val="ru-RU"/>
        </w:rPr>
        <w:lastRenderedPageBreak/>
        <w:t>фінансових послуг, підвищення рівня запитів і вимог споживачів до банківських продуктів, загострення конкуренції у банківському секторі і приходу на ринок великих західних банків з</w:t>
      </w:r>
      <w:r>
        <w:rPr>
          <w:rFonts w:ascii="Arial" w:hAnsi="Arial" w:cs="Arial"/>
          <w:bCs/>
          <w:lang w:val="ru-RU"/>
        </w:rPr>
        <w:t xml:space="preserve"> високими стандартами обслугову</w:t>
      </w:r>
      <w:r w:rsidRPr="00174644">
        <w:rPr>
          <w:rFonts w:ascii="Arial" w:hAnsi="Arial" w:cs="Arial"/>
          <w:bCs/>
          <w:lang w:val="ru-RU"/>
        </w:rPr>
        <w:t xml:space="preserve">вання стає необхідним вивчення питань практичного застосування </w:t>
      </w:r>
      <w:r>
        <w:rPr>
          <w:rFonts w:ascii="Arial" w:hAnsi="Arial" w:cs="Arial"/>
          <w:bCs/>
          <w:lang w:val="ru-RU"/>
        </w:rPr>
        <w:t>механізму підвищення ефективнос</w:t>
      </w:r>
      <w:r w:rsidRPr="00174644">
        <w:rPr>
          <w:rFonts w:ascii="Arial" w:hAnsi="Arial" w:cs="Arial"/>
          <w:bCs/>
          <w:lang w:val="ru-RU"/>
        </w:rPr>
        <w:t>ті діяльності комерційних банків в Україні. При розробці інструментів, процесів і заходів, які входять до механізму підвищення ефективності банківської діяльності, доцільно враховувати всі фактори, що впливають на ефективність діяльності комерційного банку. Виділені ос</w:t>
      </w:r>
      <w:r>
        <w:rPr>
          <w:rFonts w:ascii="Arial" w:hAnsi="Arial" w:cs="Arial"/>
          <w:bCs/>
          <w:lang w:val="ru-RU"/>
        </w:rPr>
        <w:t>новні етапи стратегічного управ</w:t>
      </w:r>
      <w:r w:rsidRPr="00174644">
        <w:rPr>
          <w:rFonts w:ascii="Arial" w:hAnsi="Arial" w:cs="Arial"/>
          <w:bCs/>
          <w:lang w:val="ru-RU"/>
        </w:rPr>
        <w:t>ління. Виконаний порівняльний аналіз основних стратегій комерційних банків, які функціонують на фінансовому ринку України.</w:t>
      </w:r>
      <w:r>
        <w:rPr>
          <w:rFonts w:ascii="Arial" w:hAnsi="Arial" w:cs="Arial"/>
          <w:bCs/>
          <w:lang w:val="ru-RU"/>
        </w:rPr>
        <w:t xml:space="preserve"> Проаналізована динаміка</w:t>
      </w:r>
      <w:r w:rsidRPr="00174644">
        <w:rPr>
          <w:rFonts w:ascii="Arial" w:hAnsi="Arial" w:cs="Arial"/>
          <w:bCs/>
          <w:lang w:val="ru-RU"/>
        </w:rPr>
        <w:t xml:space="preserve"> показників, які характеризують с</w:t>
      </w:r>
      <w:r>
        <w:rPr>
          <w:rFonts w:ascii="Arial" w:hAnsi="Arial" w:cs="Arial"/>
          <w:bCs/>
          <w:lang w:val="ru-RU"/>
        </w:rPr>
        <w:t>труктуру ресурсної бази банків</w:t>
      </w:r>
      <w:r w:rsidRPr="00174644">
        <w:rPr>
          <w:rFonts w:ascii="Arial" w:hAnsi="Arial" w:cs="Arial"/>
          <w:bCs/>
          <w:lang w:val="ru-RU"/>
        </w:rPr>
        <w:t xml:space="preserve">. Розглянуті етапи процесу стратегічного управління діяльністю комерційних банків, а також шляхи вдосконалення механізму підвищення ефективності, </w:t>
      </w:r>
      <w:r>
        <w:rPr>
          <w:rFonts w:ascii="Arial" w:hAnsi="Arial" w:cs="Arial"/>
          <w:bCs/>
          <w:lang w:val="ru-RU"/>
        </w:rPr>
        <w:t>заснованого на клієнторієнтова</w:t>
      </w:r>
      <w:r w:rsidRPr="00174644">
        <w:rPr>
          <w:rFonts w:ascii="Arial" w:hAnsi="Arial" w:cs="Arial"/>
          <w:bCs/>
          <w:lang w:val="ru-RU"/>
        </w:rPr>
        <w:t>ності. Вивчені основні тенденції динаміка процентних ставок за кр</w:t>
      </w:r>
      <w:r>
        <w:rPr>
          <w:rFonts w:ascii="Arial" w:hAnsi="Arial" w:cs="Arial"/>
          <w:bCs/>
          <w:lang w:val="ru-RU"/>
        </w:rPr>
        <w:t>едитами. Зазначено, що вітчизня</w:t>
      </w:r>
      <w:r w:rsidRPr="00174644">
        <w:rPr>
          <w:rFonts w:ascii="Arial" w:hAnsi="Arial" w:cs="Arial"/>
          <w:bCs/>
          <w:lang w:val="ru-RU"/>
        </w:rPr>
        <w:t xml:space="preserve">ний банківський ринок характеризується низькою якістю та концентрацією активів. Неминучий процес консолідації ринку створить, з одного боку, очевидні можливості для більш великих учасників ринку, а з іншого боку, приведе в результаті до підвищення рівня конкуренції, що сприятливо позначиться на якісних характеристиках роботи банківської системи в цілому. Результати проведеного аналізу поточного стану банківського сектору України дозволили автору виділити основні тенденції, що впливають на ефективність комерційних банків. Від способів, строків залучення коштів, їх вартості, а також розміру власних коштів банку, структури його ресурсів багато в чому залежать фінансові результати діяльності кредитної організації, </w:t>
      </w:r>
      <w:r>
        <w:rPr>
          <w:rFonts w:ascii="Arial" w:hAnsi="Arial" w:cs="Arial"/>
          <w:bCs/>
          <w:lang w:val="ru-RU"/>
        </w:rPr>
        <w:t>а також можливості для збільшен</w:t>
      </w:r>
      <w:r w:rsidRPr="00174644">
        <w:rPr>
          <w:rFonts w:ascii="Arial" w:hAnsi="Arial" w:cs="Arial"/>
          <w:bCs/>
          <w:lang w:val="ru-RU"/>
        </w:rPr>
        <w:t>ня вкладень в економіку країни та розширення спектра послуг, що надаються клієнтам банку</w:t>
      </w:r>
      <w:r>
        <w:rPr>
          <w:rFonts w:ascii="Arial" w:hAnsi="Arial" w:cs="Arial"/>
          <w:bCs/>
          <w:lang w:val="ru-RU"/>
        </w:rPr>
        <w:t>.</w:t>
      </w:r>
    </w:p>
    <w:p w:rsidR="001F5295" w:rsidRDefault="001F5295" w:rsidP="001F5295">
      <w:pPr>
        <w:ind w:firstLine="284"/>
        <w:jc w:val="both"/>
        <w:rPr>
          <w:rFonts w:ascii="Arial" w:hAnsi="Arial" w:cs="Arial"/>
          <w:bCs/>
          <w:lang w:val="ru-RU"/>
        </w:rPr>
      </w:pPr>
    </w:p>
    <w:p w:rsidR="001F5295" w:rsidRDefault="001F5295" w:rsidP="001F5295">
      <w:pPr>
        <w:ind w:firstLine="284"/>
        <w:jc w:val="both"/>
        <w:rPr>
          <w:rFonts w:ascii="Arial" w:hAnsi="Arial" w:cs="Arial"/>
          <w:bCs/>
          <w:lang w:val="ru-RU"/>
        </w:rPr>
      </w:pPr>
      <w:r w:rsidRPr="0018398F">
        <w:rPr>
          <w:rFonts w:ascii="Arial" w:hAnsi="Arial" w:cs="Arial"/>
          <w:b/>
          <w:bCs/>
          <w:lang w:val="ru-RU"/>
        </w:rPr>
        <w:t>Пугачова</w:t>
      </w:r>
      <w:r>
        <w:rPr>
          <w:rFonts w:ascii="Arial" w:hAnsi="Arial" w:cs="Arial"/>
          <w:b/>
          <w:bCs/>
          <w:lang w:val="ru-RU"/>
        </w:rPr>
        <w:t>,</w:t>
      </w:r>
      <w:r w:rsidRPr="0018398F">
        <w:rPr>
          <w:rFonts w:ascii="Arial" w:hAnsi="Arial" w:cs="Arial"/>
          <w:b/>
          <w:bCs/>
          <w:lang w:val="ru-RU"/>
        </w:rPr>
        <w:t xml:space="preserve"> М. В. Використання економічних барометрів для аналізу впливу на національні економіки пандемії COVID-19 </w:t>
      </w:r>
      <w:r w:rsidRPr="0018398F">
        <w:rPr>
          <w:rFonts w:ascii="Arial" w:hAnsi="Arial" w:cs="Arial"/>
          <w:bCs/>
          <w:i/>
          <w:lang w:val="ru-RU"/>
        </w:rPr>
        <w:t>(публікується англійською мовою)</w:t>
      </w:r>
      <w:r w:rsidRPr="0018398F">
        <w:rPr>
          <w:rFonts w:ascii="Arial" w:hAnsi="Arial" w:cs="Arial"/>
          <w:bCs/>
          <w:lang w:val="ru-RU"/>
        </w:rPr>
        <w:t xml:space="preserve"> / М. В. Пугачова // Статистика України. – 2020. – № 1. – C. 59–65.</w:t>
      </w:r>
    </w:p>
    <w:p w:rsidR="001F5295" w:rsidRDefault="001F5295" w:rsidP="001F5295">
      <w:pPr>
        <w:ind w:firstLine="284"/>
        <w:jc w:val="both"/>
        <w:rPr>
          <w:rFonts w:ascii="Arial" w:hAnsi="Arial" w:cs="Arial"/>
          <w:bCs/>
          <w:lang w:val="ru-RU"/>
        </w:rPr>
      </w:pPr>
      <w:r w:rsidRPr="0018398F">
        <w:rPr>
          <w:rFonts w:ascii="Arial" w:hAnsi="Arial" w:cs="Arial"/>
          <w:bCs/>
          <w:lang w:val="ru-RU"/>
        </w:rPr>
        <w:t>У статті розглядається динаміка змін Глобальних економічних барометрів, що розраховуються й аналізуються відомими аналітичними інституціями, та відображення</w:t>
      </w:r>
      <w:r>
        <w:rPr>
          <w:rFonts w:ascii="Arial" w:hAnsi="Arial" w:cs="Arial"/>
          <w:bCs/>
          <w:lang w:val="ru-RU"/>
        </w:rPr>
        <w:t xml:space="preserve"> цими барометрами впливу на сві</w:t>
      </w:r>
      <w:r w:rsidRPr="0018398F">
        <w:rPr>
          <w:rFonts w:ascii="Arial" w:hAnsi="Arial" w:cs="Arial"/>
          <w:bCs/>
          <w:lang w:val="ru-RU"/>
        </w:rPr>
        <w:t>тову економіку нової пандемії. Барометри надають оперативну інформацію щодо змін в економіці у поточному місяці, значно випереджуючи офіційну кількісну інформацію. Автором запропоновано використовувати для оцінювання впливу пандемії на розвиток української економіки індикатор економічних настроїв та індикатори ділової впевн</w:t>
      </w:r>
      <w:r>
        <w:rPr>
          <w:rFonts w:ascii="Arial" w:hAnsi="Arial" w:cs="Arial"/>
          <w:bCs/>
          <w:lang w:val="ru-RU"/>
        </w:rPr>
        <w:t>еності промисловості та роздріб</w:t>
      </w:r>
      <w:r w:rsidRPr="0018398F">
        <w:rPr>
          <w:rFonts w:ascii="Arial" w:hAnsi="Arial" w:cs="Arial"/>
          <w:bCs/>
          <w:lang w:val="ru-RU"/>
        </w:rPr>
        <w:t>ної торгівлі (для дослідження пропозиції та попиту), що розраховуються державною статистикою на основі інформації обстежень якісного характеру. Ці індикатори гармонізовані з аналогічними європей-ськими індикаторами, але мають наразі щоквартальну періодичність. Зроблено висновок про нагальну необхідність переведення цих та інших барометрів, створених за євр</w:t>
      </w:r>
      <w:r>
        <w:rPr>
          <w:rFonts w:ascii="Arial" w:hAnsi="Arial" w:cs="Arial"/>
          <w:bCs/>
          <w:lang w:val="ru-RU"/>
        </w:rPr>
        <w:t>опейською методологією, на щомі</w:t>
      </w:r>
      <w:r w:rsidRPr="0018398F">
        <w:rPr>
          <w:rFonts w:ascii="Arial" w:hAnsi="Arial" w:cs="Arial"/>
          <w:bCs/>
          <w:lang w:val="ru-RU"/>
        </w:rPr>
        <w:t xml:space="preserve">сячну періодичність для оперативного відображення впливу пандемії </w:t>
      </w:r>
      <w:r>
        <w:rPr>
          <w:rFonts w:ascii="Arial" w:hAnsi="Arial" w:cs="Arial"/>
          <w:bCs/>
          <w:lang w:val="ru-RU"/>
        </w:rPr>
        <w:t>на розвиток української економіки</w:t>
      </w:r>
      <w:r w:rsidRPr="0018398F">
        <w:rPr>
          <w:rFonts w:ascii="Arial" w:hAnsi="Arial" w:cs="Arial"/>
          <w:bCs/>
          <w:lang w:val="ru-RU"/>
        </w:rPr>
        <w:t>. Також запропоновано здійснити пошук нових барометрів, які точніше відбивають зміни української економіки.</w:t>
      </w:r>
    </w:p>
    <w:p w:rsidR="001F5295" w:rsidRDefault="001F5295" w:rsidP="001F5295">
      <w:pPr>
        <w:ind w:firstLine="284"/>
        <w:jc w:val="both"/>
        <w:rPr>
          <w:rFonts w:ascii="Arial" w:hAnsi="Arial" w:cs="Arial"/>
          <w:bCs/>
          <w:lang w:val="ru-RU"/>
        </w:rPr>
      </w:pPr>
    </w:p>
    <w:p w:rsidR="001F5295" w:rsidRPr="0018398F" w:rsidRDefault="001F5295" w:rsidP="001F5295">
      <w:pPr>
        <w:ind w:firstLine="284"/>
        <w:jc w:val="both"/>
        <w:rPr>
          <w:rFonts w:ascii="Arial" w:hAnsi="Arial" w:cs="Arial"/>
          <w:bCs/>
          <w:lang w:val="ru-RU"/>
        </w:rPr>
      </w:pPr>
      <w:r w:rsidRPr="0018398F">
        <w:rPr>
          <w:rFonts w:ascii="Arial" w:hAnsi="Arial" w:cs="Arial"/>
          <w:b/>
          <w:bCs/>
          <w:lang w:val="ru-RU"/>
        </w:rPr>
        <w:t>Артем’єва</w:t>
      </w:r>
      <w:r>
        <w:rPr>
          <w:rFonts w:ascii="Arial" w:hAnsi="Arial" w:cs="Arial"/>
          <w:b/>
          <w:bCs/>
          <w:lang w:val="ru-RU"/>
        </w:rPr>
        <w:t>,</w:t>
      </w:r>
      <w:r w:rsidRPr="0018398F">
        <w:rPr>
          <w:rFonts w:ascii="Arial" w:hAnsi="Arial" w:cs="Arial"/>
          <w:b/>
          <w:bCs/>
          <w:lang w:val="ru-RU"/>
        </w:rPr>
        <w:t xml:space="preserve"> І. О. Напрями розвитку системи статистичного вимірювання параметрів цифрової економіки</w:t>
      </w:r>
      <w:r w:rsidRPr="0018398F">
        <w:rPr>
          <w:rFonts w:ascii="Arial" w:hAnsi="Arial" w:cs="Arial"/>
          <w:bCs/>
          <w:lang w:val="ru-RU"/>
        </w:rPr>
        <w:t xml:space="preserve"> / І. О. Артем’єва // Статистика України. – 2020. – № 1. – C. </w:t>
      </w:r>
      <w:r>
        <w:rPr>
          <w:rFonts w:ascii="Arial" w:hAnsi="Arial" w:cs="Arial"/>
          <w:bCs/>
          <w:lang w:val="ru-RU"/>
        </w:rPr>
        <w:t>66–74</w:t>
      </w:r>
      <w:r w:rsidRPr="0018398F">
        <w:rPr>
          <w:rFonts w:ascii="Arial" w:hAnsi="Arial" w:cs="Arial"/>
          <w:bCs/>
          <w:lang w:val="ru-RU"/>
        </w:rPr>
        <w:t>.</w:t>
      </w:r>
    </w:p>
    <w:p w:rsidR="001F5295" w:rsidRDefault="001F5295" w:rsidP="001F5295">
      <w:pPr>
        <w:ind w:firstLine="284"/>
        <w:jc w:val="both"/>
        <w:rPr>
          <w:rFonts w:ascii="Arial" w:hAnsi="Arial" w:cs="Arial"/>
          <w:bCs/>
          <w:lang w:val="ru-RU"/>
        </w:rPr>
      </w:pPr>
      <w:r w:rsidRPr="0018398F">
        <w:rPr>
          <w:rFonts w:ascii="Arial" w:hAnsi="Arial" w:cs="Arial"/>
          <w:bCs/>
          <w:lang w:val="ru-RU"/>
        </w:rPr>
        <w:t>Охарактеризовані основні виклики, що постають у статистичній діяльності під впливом глобального поширення цифрових технологій. Доведена необхідність побудови комплексної системи вимірювання параметрів цифрової економіки та названі вимоги, яким вона має відповідати. Визначені найважливіші напрями процесу розвитку системи вимірювання параметрів цифрової економіки. Обґрунтована необхідність розробки, впровадження та закріплення понятійного апарату, який має бути основою для побудови системи статистичного вимірювання цифрових трансформацій і створення необхідної нормативно-правової бази, окреслені труднощі цього процесу. Надана порівняльна характеристика поглядів прибічників та противників зміни традиційних концептуальних основ вимірювання економічних параметрів за нових умов. Висвітлені проблеми розробк</w:t>
      </w:r>
      <w:r>
        <w:rPr>
          <w:rFonts w:ascii="Arial" w:hAnsi="Arial" w:cs="Arial"/>
          <w:bCs/>
          <w:lang w:val="ru-RU"/>
        </w:rPr>
        <w:t>и нової моделі статистики цифро</w:t>
      </w:r>
      <w:r w:rsidRPr="0018398F">
        <w:rPr>
          <w:rFonts w:ascii="Arial" w:hAnsi="Arial" w:cs="Arial"/>
          <w:bCs/>
          <w:lang w:val="ru-RU"/>
        </w:rPr>
        <w:t>вої економіки, що має як об’єднати всі наявні методичні та методологічні напрацювання в галузі статистики інформаційного суспільства, так і сформувати нові підходи до статистичного вимірювання різних аспектів цифровізації. Визначені основні проблеми у сфері формування адекватної інформаційної бази для побудови показників обліку елементів цифрової економіки, окреслені шляхи їх розв’язання.</w:t>
      </w:r>
      <w:r>
        <w:rPr>
          <w:rFonts w:ascii="Arial" w:hAnsi="Arial" w:cs="Arial"/>
          <w:bCs/>
          <w:lang w:val="ru-RU"/>
        </w:rPr>
        <w:t xml:space="preserve"> Розгля</w:t>
      </w:r>
      <w:r w:rsidRPr="0018398F">
        <w:rPr>
          <w:rFonts w:ascii="Arial" w:hAnsi="Arial" w:cs="Arial"/>
          <w:bCs/>
          <w:lang w:val="ru-RU"/>
        </w:rPr>
        <w:t>нуті найважливіші напрями роботи з модернізації технологічної основи офіційної статистики. Описані зміни у формуванні попиту на статистичну інформацію, запропоновані шляхи удосконалення взаємодії з користувачами офіційної статистичної інформації. Обґрунтована потреба формування у працівників статистичних установ компетенцій для розробки й упровадження цифрових технологій у їх професійну діяльність, надані рекомендації щодо змісту програм підготовки і перепі</w:t>
      </w:r>
      <w:r>
        <w:rPr>
          <w:rFonts w:ascii="Arial" w:hAnsi="Arial" w:cs="Arial"/>
          <w:bCs/>
          <w:lang w:val="ru-RU"/>
        </w:rPr>
        <w:t>дготовки кадрів. Доведена необ</w:t>
      </w:r>
      <w:r w:rsidRPr="0018398F">
        <w:rPr>
          <w:rFonts w:ascii="Arial" w:hAnsi="Arial" w:cs="Arial"/>
          <w:bCs/>
          <w:lang w:val="ru-RU"/>
        </w:rPr>
        <w:t xml:space="preserve">хідність уніфікації практик отримання й поширення результатів вимірювання цифрової економіки у міжнародних масштабах, розкрита роль міжнародних організацій у процесі оптимізації і стандартизації різних процесів </w:t>
      </w:r>
      <w:r w:rsidRPr="0018398F">
        <w:rPr>
          <w:rFonts w:ascii="Arial" w:hAnsi="Arial" w:cs="Arial"/>
          <w:bCs/>
          <w:lang w:val="ru-RU"/>
        </w:rPr>
        <w:lastRenderedPageBreak/>
        <w:t>виробництва офіційної статистки на національному та міжнародному рівнях. Окреслені потенційні напрями майбутньої роботи з розвитку системи вимірювання цифрової економіки</w:t>
      </w:r>
      <w:r>
        <w:rPr>
          <w:rFonts w:ascii="Arial" w:hAnsi="Arial" w:cs="Arial"/>
          <w:bCs/>
          <w:lang w:val="ru-RU"/>
        </w:rPr>
        <w:t>.</w:t>
      </w:r>
    </w:p>
    <w:p w:rsidR="001F5295" w:rsidRDefault="001F5295" w:rsidP="001F5295">
      <w:pPr>
        <w:ind w:firstLine="284"/>
        <w:jc w:val="both"/>
        <w:rPr>
          <w:rFonts w:ascii="Arial" w:hAnsi="Arial" w:cs="Arial"/>
          <w:b/>
          <w:bCs/>
          <w:lang w:val="ru-RU"/>
        </w:rPr>
      </w:pPr>
    </w:p>
    <w:p w:rsidR="001F5295" w:rsidRDefault="001F5295" w:rsidP="001F5295">
      <w:pPr>
        <w:ind w:firstLine="284"/>
        <w:jc w:val="both"/>
        <w:rPr>
          <w:rFonts w:ascii="Arial" w:hAnsi="Arial" w:cs="Arial"/>
          <w:bCs/>
          <w:lang w:val="ru-RU"/>
        </w:rPr>
      </w:pPr>
      <w:r w:rsidRPr="0018398F">
        <w:rPr>
          <w:rFonts w:ascii="Arial" w:hAnsi="Arial" w:cs="Arial"/>
          <w:b/>
          <w:bCs/>
          <w:lang w:val="ru-RU"/>
        </w:rPr>
        <w:t>Козлов</w:t>
      </w:r>
      <w:r>
        <w:rPr>
          <w:rFonts w:ascii="Arial" w:hAnsi="Arial" w:cs="Arial"/>
          <w:b/>
          <w:bCs/>
          <w:lang w:val="ru-RU"/>
        </w:rPr>
        <w:t>,</w:t>
      </w:r>
      <w:r w:rsidRPr="0018398F">
        <w:rPr>
          <w:rFonts w:ascii="Arial" w:hAnsi="Arial" w:cs="Arial"/>
          <w:b/>
          <w:bCs/>
          <w:lang w:val="ru-RU"/>
        </w:rPr>
        <w:t xml:space="preserve"> В. В. Використання оптимізаційних моделей у фінансових системах підтримки прийняття рішень</w:t>
      </w:r>
      <w:r>
        <w:rPr>
          <w:rFonts w:ascii="Arial" w:hAnsi="Arial" w:cs="Arial"/>
          <w:bCs/>
          <w:lang w:val="ru-RU"/>
        </w:rPr>
        <w:t xml:space="preserve"> / В. В. </w:t>
      </w:r>
      <w:r w:rsidRPr="0018398F">
        <w:rPr>
          <w:rFonts w:ascii="Arial" w:hAnsi="Arial" w:cs="Arial"/>
          <w:bCs/>
          <w:lang w:val="ru-RU"/>
        </w:rPr>
        <w:t>Козлов</w:t>
      </w:r>
      <w:r>
        <w:rPr>
          <w:rFonts w:ascii="Arial" w:hAnsi="Arial" w:cs="Arial"/>
          <w:bCs/>
          <w:lang w:val="ru-RU"/>
        </w:rPr>
        <w:t>,</w:t>
      </w:r>
      <w:r w:rsidRPr="0018398F">
        <w:rPr>
          <w:rFonts w:ascii="Arial" w:hAnsi="Arial" w:cs="Arial"/>
          <w:bCs/>
          <w:lang w:val="ru-RU"/>
        </w:rPr>
        <w:t xml:space="preserve"> </w:t>
      </w:r>
      <w:r w:rsidRPr="00075BE3">
        <w:rPr>
          <w:rFonts w:ascii="Arial" w:hAnsi="Arial" w:cs="Arial"/>
          <w:bCs/>
          <w:lang w:val="ru-RU"/>
        </w:rPr>
        <w:t>Т. В.</w:t>
      </w:r>
      <w:r>
        <w:rPr>
          <w:rFonts w:ascii="Arial" w:hAnsi="Arial" w:cs="Arial"/>
          <w:bCs/>
          <w:lang w:val="ru-RU"/>
        </w:rPr>
        <w:t xml:space="preserve"> Томашевська, </w:t>
      </w:r>
      <w:r w:rsidRPr="00075BE3">
        <w:rPr>
          <w:rFonts w:ascii="Arial" w:hAnsi="Arial" w:cs="Arial"/>
          <w:bCs/>
          <w:lang w:val="ru-RU"/>
        </w:rPr>
        <w:t xml:space="preserve">М. І </w:t>
      </w:r>
      <w:r>
        <w:rPr>
          <w:rFonts w:ascii="Arial" w:hAnsi="Arial" w:cs="Arial"/>
          <w:bCs/>
          <w:lang w:val="ru-RU"/>
        </w:rPr>
        <w:t xml:space="preserve">Кузнєцов </w:t>
      </w:r>
      <w:r w:rsidRPr="0018398F">
        <w:rPr>
          <w:rFonts w:ascii="Arial" w:hAnsi="Arial" w:cs="Arial"/>
          <w:bCs/>
          <w:lang w:val="ru-RU"/>
        </w:rPr>
        <w:t>// Статистика України. – 2020. – № 1. – C. 75</w:t>
      </w:r>
      <w:r>
        <w:rPr>
          <w:rFonts w:ascii="Arial" w:hAnsi="Arial" w:cs="Arial"/>
          <w:bCs/>
          <w:lang w:val="ru-RU"/>
        </w:rPr>
        <w:t>-</w:t>
      </w:r>
      <w:r w:rsidRPr="0018398F">
        <w:rPr>
          <w:rFonts w:ascii="Arial" w:hAnsi="Arial" w:cs="Arial"/>
          <w:bCs/>
          <w:lang w:val="ru-RU"/>
        </w:rPr>
        <w:t>83.</w:t>
      </w:r>
    </w:p>
    <w:p w:rsidR="001F5295" w:rsidRPr="0018398F" w:rsidRDefault="001F5295" w:rsidP="001F5295">
      <w:pPr>
        <w:ind w:firstLine="284"/>
        <w:jc w:val="both"/>
        <w:rPr>
          <w:rFonts w:ascii="Arial" w:hAnsi="Arial" w:cs="Arial"/>
          <w:bCs/>
          <w:lang w:val="ru-RU"/>
        </w:rPr>
      </w:pPr>
      <w:r w:rsidRPr="00075BE3">
        <w:rPr>
          <w:rFonts w:ascii="Arial" w:hAnsi="Arial" w:cs="Arial"/>
          <w:bCs/>
          <w:lang w:val="ru-RU"/>
        </w:rPr>
        <w:t>У статті розглядається використання оптимізаційних моделей у фінансових системах підтримки прий</w:t>
      </w:r>
      <w:r w:rsidRPr="0018398F">
        <w:rPr>
          <w:rFonts w:ascii="Arial" w:hAnsi="Arial" w:cs="Arial"/>
          <w:bCs/>
          <w:lang w:val="ru-RU"/>
        </w:rPr>
        <w:t>няття рішень (СППР). Розглядається архітектура СППР, що визначається характером взаємодії її основних складових: інтерфейсу користувача, бази та сховища даних, документів і правил, моделей і аналітичних інструментів, інфраструктури комунікацій і мереж, а також елементів цих частин. Наводяться концептуальна і функціональна моделі СППР. Остання відображає структуру керуючих впливів на осіб, які приймають рішення, осіб, які беруть участь у здійсн</w:t>
      </w:r>
      <w:r>
        <w:rPr>
          <w:rFonts w:ascii="Arial" w:hAnsi="Arial" w:cs="Arial"/>
          <w:bCs/>
          <w:lang w:val="ru-RU"/>
        </w:rPr>
        <w:t>енні коригувальних дій, необхід</w:t>
      </w:r>
      <w:r w:rsidRPr="0018398F">
        <w:rPr>
          <w:rFonts w:ascii="Arial" w:hAnsi="Arial" w:cs="Arial"/>
          <w:bCs/>
          <w:lang w:val="ru-RU"/>
        </w:rPr>
        <w:t xml:space="preserve">них для ефективної фінансової діяльності. Пропонується структурна схема СППР за функціональною моделлю. Структурна схема підтримки прийняття рішень складається </w:t>
      </w:r>
      <w:r>
        <w:rPr>
          <w:rFonts w:ascii="Arial" w:hAnsi="Arial" w:cs="Arial"/>
          <w:bCs/>
          <w:lang w:val="ru-RU"/>
        </w:rPr>
        <w:t>з трьох основних підсистем і пе</w:t>
      </w:r>
      <w:r w:rsidRPr="0018398F">
        <w:rPr>
          <w:rFonts w:ascii="Arial" w:hAnsi="Arial" w:cs="Arial"/>
          <w:bCs/>
          <w:lang w:val="ru-RU"/>
        </w:rPr>
        <w:t>редбачає модульно-блочну побудову. Запропонована система характе</w:t>
      </w:r>
      <w:r>
        <w:rPr>
          <w:rFonts w:ascii="Arial" w:hAnsi="Arial" w:cs="Arial"/>
          <w:bCs/>
          <w:lang w:val="ru-RU"/>
        </w:rPr>
        <w:t>ризується відкритістю архітекту</w:t>
      </w:r>
      <w:r w:rsidRPr="0018398F">
        <w:rPr>
          <w:rFonts w:ascii="Arial" w:hAnsi="Arial" w:cs="Arial"/>
          <w:bCs/>
          <w:lang w:val="ru-RU"/>
        </w:rPr>
        <w:t>ри й може бути достатньо легко модифікована для функціонального розширення або для підключення і використання зовнішніх баз даних. СППР має являти собою загальне операц</w:t>
      </w:r>
      <w:r>
        <w:rPr>
          <w:rFonts w:ascii="Arial" w:hAnsi="Arial" w:cs="Arial"/>
          <w:bCs/>
          <w:lang w:val="ru-RU"/>
        </w:rPr>
        <w:t>ійне середовище для мо</w:t>
      </w:r>
      <w:r w:rsidRPr="0018398F">
        <w:rPr>
          <w:rFonts w:ascii="Arial" w:hAnsi="Arial" w:cs="Arial"/>
          <w:bCs/>
          <w:lang w:val="ru-RU"/>
        </w:rPr>
        <w:t>делювання об’єктів в умовах динамічно мінливої економічної ситуації. Операційне середовище містить базові алгоритми розрахунку, а також дозволяє користувачеві створ</w:t>
      </w:r>
      <w:r>
        <w:rPr>
          <w:rFonts w:ascii="Arial" w:hAnsi="Arial" w:cs="Arial"/>
          <w:bCs/>
          <w:lang w:val="ru-RU"/>
        </w:rPr>
        <w:t>ювати власні алгоритми розрахун</w:t>
      </w:r>
      <w:r w:rsidRPr="0018398F">
        <w:rPr>
          <w:rFonts w:ascii="Arial" w:hAnsi="Arial" w:cs="Arial"/>
          <w:bCs/>
          <w:lang w:val="ru-RU"/>
        </w:rPr>
        <w:t>ку грошових потоків і використовуваних показників. Отже, ключовим елементом інтегрованої системи підтримки прийняття рішень з управління фінансовим станом підпри</w:t>
      </w:r>
      <w:r>
        <w:rPr>
          <w:rFonts w:ascii="Arial" w:hAnsi="Arial" w:cs="Arial"/>
          <w:bCs/>
          <w:lang w:val="ru-RU"/>
        </w:rPr>
        <w:t>ємства є закладені в основу сис</w:t>
      </w:r>
      <w:r w:rsidRPr="0018398F">
        <w:rPr>
          <w:rFonts w:ascii="Arial" w:hAnsi="Arial" w:cs="Arial"/>
          <w:bCs/>
          <w:lang w:val="ru-RU"/>
        </w:rPr>
        <w:t>теми моделі. Розглянуто архітектуру СППР на основі алгоритмів для розв’язання обраного класу завдань. Серед факторів, які впливають на вибір конкретної архітектури СППР у фін</w:t>
      </w:r>
      <w:r>
        <w:rPr>
          <w:rFonts w:ascii="Arial" w:hAnsi="Arial" w:cs="Arial"/>
          <w:bCs/>
          <w:lang w:val="ru-RU"/>
        </w:rPr>
        <w:t>ансовому управлінні, можна виді</w:t>
      </w:r>
      <w:r w:rsidRPr="0018398F">
        <w:rPr>
          <w:rFonts w:ascii="Arial" w:hAnsi="Arial" w:cs="Arial"/>
          <w:bCs/>
          <w:lang w:val="ru-RU"/>
        </w:rPr>
        <w:t>лити такі: 1) необхідність подальшого розвитку системи; 2) її адаптація; 3) застосування еволюц</w:t>
      </w:r>
      <w:r>
        <w:rPr>
          <w:rFonts w:ascii="Arial" w:hAnsi="Arial" w:cs="Arial"/>
          <w:bCs/>
          <w:lang w:val="ru-RU"/>
        </w:rPr>
        <w:t>ійного підходу до розвитку СППР</w:t>
      </w:r>
      <w:r w:rsidRPr="0018398F">
        <w:rPr>
          <w:rFonts w:ascii="Arial" w:hAnsi="Arial" w:cs="Arial"/>
          <w:bCs/>
          <w:lang w:val="ru-RU"/>
        </w:rPr>
        <w:t>. Компонентами системи є ввод даних, розподіл ресурсів, вибі</w:t>
      </w:r>
      <w:r>
        <w:rPr>
          <w:rFonts w:ascii="Arial" w:hAnsi="Arial" w:cs="Arial"/>
          <w:bCs/>
          <w:lang w:val="ru-RU"/>
        </w:rPr>
        <w:t>р стратегії, вивід результатів</w:t>
      </w:r>
      <w:r w:rsidRPr="0018398F">
        <w:rPr>
          <w:rFonts w:ascii="Arial" w:hAnsi="Arial" w:cs="Arial"/>
          <w:bCs/>
          <w:lang w:val="ru-RU"/>
        </w:rPr>
        <w:t>. Компонент розподілу ресурсів, своєю чергою, містить такі підкомпоненти: визначення коефіцієнтів залежностей, вирішення оптимізаційн</w:t>
      </w:r>
      <w:r>
        <w:rPr>
          <w:rFonts w:ascii="Arial" w:hAnsi="Arial" w:cs="Arial"/>
          <w:bCs/>
          <w:lang w:val="ru-RU"/>
        </w:rPr>
        <w:t>ої задачі, розв’язання рівняння</w:t>
      </w:r>
      <w:r w:rsidRPr="0018398F">
        <w:rPr>
          <w:rFonts w:ascii="Arial" w:hAnsi="Arial" w:cs="Arial"/>
          <w:bCs/>
          <w:lang w:val="ru-RU"/>
        </w:rPr>
        <w:t>. Компонент вибору стратегії включає підкомпоненти обчислення значень інтегральних</w:t>
      </w:r>
      <w:r>
        <w:rPr>
          <w:rFonts w:ascii="Arial" w:hAnsi="Arial" w:cs="Arial"/>
          <w:bCs/>
          <w:lang w:val="ru-RU"/>
        </w:rPr>
        <w:t xml:space="preserve"> проектних характеристик, обчис</w:t>
      </w:r>
      <w:r w:rsidRPr="0018398F">
        <w:rPr>
          <w:rFonts w:ascii="Arial" w:hAnsi="Arial" w:cs="Arial"/>
          <w:bCs/>
          <w:lang w:val="ru-RU"/>
        </w:rPr>
        <w:t>лення значень груп проектних характеристик,</w:t>
      </w:r>
      <w:r>
        <w:rPr>
          <w:rFonts w:ascii="Arial" w:hAnsi="Arial" w:cs="Arial"/>
          <w:bCs/>
          <w:lang w:val="ru-RU"/>
        </w:rPr>
        <w:t xml:space="preserve"> попарного порівняння стратегій</w:t>
      </w:r>
      <w:r w:rsidRPr="0018398F">
        <w:rPr>
          <w:rFonts w:ascii="Arial" w:hAnsi="Arial" w:cs="Arial"/>
          <w:bCs/>
          <w:lang w:val="ru-RU"/>
        </w:rPr>
        <w:t>.</w:t>
      </w:r>
      <w:r>
        <w:rPr>
          <w:rFonts w:ascii="Arial" w:hAnsi="Arial" w:cs="Arial"/>
          <w:bCs/>
          <w:lang w:val="ru-RU"/>
        </w:rPr>
        <w:t xml:space="preserve"> </w:t>
      </w:r>
      <w:r w:rsidRPr="0018398F">
        <w:rPr>
          <w:rFonts w:ascii="Arial" w:hAnsi="Arial" w:cs="Arial"/>
          <w:bCs/>
          <w:lang w:val="ru-RU"/>
        </w:rPr>
        <w:t>Представлена інформаційна модель компонента “Розподіл фінансових ресурсів підприємств</w:t>
      </w:r>
      <w:r>
        <w:rPr>
          <w:rFonts w:ascii="Arial" w:hAnsi="Arial" w:cs="Arial"/>
          <w:bCs/>
          <w:lang w:val="ru-RU"/>
        </w:rPr>
        <w:t>а”</w:t>
      </w:r>
      <w:r w:rsidRPr="0018398F">
        <w:rPr>
          <w:rFonts w:ascii="Arial" w:hAnsi="Arial" w:cs="Arial"/>
          <w:bCs/>
          <w:lang w:val="ru-RU"/>
        </w:rPr>
        <w:t>. СППР призначена для виконання обробки даних та перевірки наявнос</w:t>
      </w:r>
      <w:r>
        <w:rPr>
          <w:rFonts w:ascii="Arial" w:hAnsi="Arial" w:cs="Arial"/>
          <w:bCs/>
          <w:lang w:val="ru-RU"/>
        </w:rPr>
        <w:t>ті характеристик, критично необхідних для прийняття рішення</w:t>
      </w:r>
      <w:r w:rsidRPr="0018398F">
        <w:rPr>
          <w:rFonts w:ascii="Arial" w:hAnsi="Arial" w:cs="Arial"/>
          <w:bCs/>
          <w:lang w:val="ru-RU"/>
        </w:rPr>
        <w:t>. Розглянуто формалізовану структу</w:t>
      </w:r>
      <w:r>
        <w:rPr>
          <w:rFonts w:ascii="Arial" w:hAnsi="Arial" w:cs="Arial"/>
          <w:bCs/>
          <w:lang w:val="ru-RU"/>
        </w:rPr>
        <w:t>ру алгоритму використання запро</w:t>
      </w:r>
      <w:r w:rsidRPr="0018398F">
        <w:rPr>
          <w:rFonts w:ascii="Arial" w:hAnsi="Arial" w:cs="Arial"/>
          <w:bCs/>
          <w:lang w:val="ru-RU"/>
        </w:rPr>
        <w:t>понованих моделей розподілу фінансових ресурсів, а також типи інтеграції моделей</w:t>
      </w:r>
      <w:r>
        <w:rPr>
          <w:rFonts w:ascii="Arial" w:hAnsi="Arial" w:cs="Arial"/>
          <w:bCs/>
          <w:lang w:val="ru-RU"/>
        </w:rPr>
        <w:t>.</w:t>
      </w:r>
    </w:p>
    <w:p w:rsidR="001F5295" w:rsidRDefault="001F5295" w:rsidP="001F5295">
      <w:pPr>
        <w:ind w:firstLine="284"/>
        <w:jc w:val="both"/>
        <w:rPr>
          <w:rFonts w:ascii="Arial" w:hAnsi="Arial" w:cs="Arial"/>
          <w:bCs/>
          <w:lang w:val="ru-RU"/>
        </w:rPr>
      </w:pPr>
    </w:p>
    <w:p w:rsidR="001F5295" w:rsidRPr="00075BE3" w:rsidRDefault="001F5295" w:rsidP="001F5295">
      <w:pPr>
        <w:ind w:firstLine="284"/>
        <w:jc w:val="both"/>
        <w:rPr>
          <w:rFonts w:ascii="Arial" w:hAnsi="Arial" w:cs="Arial"/>
          <w:bCs/>
          <w:lang w:val="ru-RU"/>
        </w:rPr>
      </w:pPr>
      <w:r w:rsidRPr="00075BE3">
        <w:rPr>
          <w:rFonts w:ascii="Arial" w:hAnsi="Arial" w:cs="Arial"/>
          <w:b/>
          <w:bCs/>
          <w:lang w:val="ru-RU"/>
        </w:rPr>
        <w:t>Саліхова</w:t>
      </w:r>
      <w:r>
        <w:rPr>
          <w:rFonts w:ascii="Arial" w:hAnsi="Arial" w:cs="Arial"/>
          <w:b/>
          <w:bCs/>
          <w:lang w:val="ru-RU"/>
        </w:rPr>
        <w:t>,</w:t>
      </w:r>
      <w:r w:rsidRPr="00075BE3">
        <w:rPr>
          <w:rFonts w:ascii="Arial" w:hAnsi="Arial" w:cs="Arial"/>
          <w:b/>
          <w:bCs/>
          <w:lang w:val="ru-RU"/>
        </w:rPr>
        <w:t xml:space="preserve"> О. Б. Модернізація промисловості на засадах розумної спеціалізації. Частина ІІ. С</w:t>
      </w:r>
      <w:r>
        <w:rPr>
          <w:rFonts w:ascii="Arial" w:hAnsi="Arial" w:cs="Arial"/>
          <w:b/>
          <w:bCs/>
          <w:lang w:val="ru-RU"/>
        </w:rPr>
        <w:t>танов</w:t>
      </w:r>
      <w:r w:rsidRPr="00075BE3">
        <w:rPr>
          <w:rFonts w:ascii="Arial" w:hAnsi="Arial" w:cs="Arial"/>
          <w:b/>
          <w:bCs/>
          <w:lang w:val="ru-RU"/>
        </w:rPr>
        <w:t>лення інструментарію моніторингу та системного аналізу впливу ключових технологій на модернізацію промисловості</w:t>
      </w:r>
      <w:r w:rsidRPr="00075BE3">
        <w:rPr>
          <w:rFonts w:ascii="Arial" w:hAnsi="Arial" w:cs="Arial"/>
          <w:bCs/>
          <w:lang w:val="ru-RU"/>
        </w:rPr>
        <w:t xml:space="preserve"> / О. Б. Саліхова // Статистика України. – 2020. – № 1. – C. 84</w:t>
      </w:r>
      <w:r>
        <w:rPr>
          <w:rFonts w:ascii="Arial" w:hAnsi="Arial" w:cs="Arial"/>
          <w:bCs/>
          <w:lang w:val="ru-RU"/>
        </w:rPr>
        <w:t>-</w:t>
      </w:r>
      <w:r w:rsidRPr="00075BE3">
        <w:rPr>
          <w:rFonts w:ascii="Arial" w:hAnsi="Arial" w:cs="Arial"/>
          <w:bCs/>
          <w:lang w:val="ru-RU"/>
        </w:rPr>
        <w:t>90.</w:t>
      </w:r>
    </w:p>
    <w:p w:rsidR="001F5295" w:rsidRDefault="001F5295" w:rsidP="001F5295">
      <w:pPr>
        <w:ind w:firstLine="284"/>
        <w:jc w:val="both"/>
        <w:rPr>
          <w:rFonts w:ascii="Arial" w:hAnsi="Arial" w:cs="Arial"/>
          <w:bCs/>
          <w:lang w:val="ru-RU"/>
        </w:rPr>
      </w:pPr>
      <w:r w:rsidRPr="00075BE3">
        <w:rPr>
          <w:rFonts w:ascii="Arial" w:hAnsi="Arial" w:cs="Arial"/>
          <w:bCs/>
          <w:lang w:val="ru-RU"/>
        </w:rPr>
        <w:t xml:space="preserve">Отримання інформації щодо попиту індустрій у ЄС та в інших регіонах світу на ключові технології, що надають можливості (KETs), набуває все більшої актуальності в контексті Нової промислової стратегії для Європи, яка визначила інновації центральною ланкою політики розвитку економіки та зростання добробуту нації. Це спонукало уряди ЄС ініціювати зміни у статистичних підходах до оцінки надійності й обґрунтованості чинної методологічної бази KETs Observatory у частині: оновлення та розширення бази даних KETs Observatory (збирання даних, розрахунки показників); підготовки профілів країн та аналітичних звітів щодо перспективних інноваційних продуктів на базі KETs; розповсюдження результатів KETs Observatory. Узагальнюючи здобутки європейських учених щодо вдосконалення KETs Observatory, встановлено, що ключовими рішеннями є такі: 1) розширення показників технологій за межі патентних даних, оскільки патенти не охоплюють повний масштаб продукування технологій; 2) більша орієнтація на статистичні дані, ніж на експертні висновки; 3) використання таблиць Input-Output для оцінки імплементації KETs для широкого спектру видів економічної діяльності; 4) зміна розрахунку показників обороту задля отримання можливості виявити зв’язок між патентною діяльністю, комерціалізацією технологій та показниками виробництва продукції на основі KETs; 5) запровадження міжнародних порівнянь показників виробництва продукції та попиту на неї на основі KETs. У статті проаналізовано останні дослідження європейських учених за такими напрямами: 1) упровадження та використання передових промислових технологій; 2) регіональні та галузеві рамкові умови підтримки модернізації промисловості на базі передових промислових технологій; 3) використання моделей міжрегіональної співпраці та потенційних синергій для модернізації промисловості ЄС; 4) аналіз ділового середовища та державної підтримка участі малих і середніх підприємств у модернізації промисловості; 5) моніторинг інвестицій, які сприяють модернізації промисловості, що вказує на зміну природи інвестиції у засоби виробництва (capital goods) в епоху оцифрування та майбутніх нових КЕТs. Показано, що в Україні широкомасштабне впровадження передових технологій у промисловість та статистичний моніторинг цього процесу </w:t>
      </w:r>
      <w:r w:rsidRPr="00075BE3">
        <w:rPr>
          <w:rFonts w:ascii="Arial" w:hAnsi="Arial" w:cs="Arial"/>
          <w:bCs/>
          <w:lang w:val="ru-RU"/>
        </w:rPr>
        <w:lastRenderedPageBreak/>
        <w:t>наразі не стали пріоритетом держави. Обґрунтовано необхідність розробки програми спостереження для систематичного опитування українських виробників промислової продукції щодо інвестицій у KETs, зокрема у передові промислові технології, їх упровадження, отриманих ефектів і ключових перешкод. Рекомендовано взяти до уваги досвід ЄС при підготовці техніко-економічного обґрунтування та визначені адекватного набору даних, необхідних для встановлення нових пріоритетів науково-технологічної, інноваційної та промислової політики в Україні для прискорення ендогенізації економічного зростання з урахуванням сучасних тенденцій розвитку KETs.</w:t>
      </w:r>
    </w:p>
    <w:p w:rsidR="001F5295" w:rsidRDefault="001F5295" w:rsidP="001F5295">
      <w:pPr>
        <w:ind w:firstLine="284"/>
        <w:jc w:val="both"/>
        <w:rPr>
          <w:rFonts w:ascii="Arial" w:hAnsi="Arial" w:cs="Arial"/>
          <w:bCs/>
          <w:lang w:val="ru-RU"/>
        </w:rPr>
      </w:pPr>
    </w:p>
    <w:p w:rsidR="001F5295" w:rsidRPr="00075BE3" w:rsidRDefault="001F5295" w:rsidP="001F5295">
      <w:pPr>
        <w:ind w:firstLine="284"/>
        <w:jc w:val="both"/>
        <w:rPr>
          <w:rFonts w:ascii="Arial" w:hAnsi="Arial" w:cs="Arial"/>
          <w:bCs/>
          <w:lang w:val="ru-RU"/>
        </w:rPr>
      </w:pPr>
      <w:r w:rsidRPr="00C45DE8">
        <w:rPr>
          <w:rFonts w:ascii="Arial" w:hAnsi="Arial" w:cs="Arial"/>
          <w:b/>
          <w:bCs/>
          <w:lang w:val="ru-RU"/>
        </w:rPr>
        <w:t>Ковтун, Н. В. Запуск магістерської програми з економіки та статистики охорони здоров’я в Київському національному університеті імені Тараса Шевченка</w:t>
      </w:r>
      <w:r w:rsidRPr="00C45DE8">
        <w:rPr>
          <w:rFonts w:ascii="Arial" w:hAnsi="Arial" w:cs="Arial"/>
          <w:bCs/>
          <w:lang w:val="ru-RU"/>
        </w:rPr>
        <w:t xml:space="preserve"> (публікується англійською мовою) / Н. В.</w:t>
      </w:r>
      <w:r>
        <w:rPr>
          <w:rFonts w:ascii="Arial" w:hAnsi="Arial" w:cs="Arial"/>
          <w:bCs/>
          <w:lang w:val="ru-RU"/>
        </w:rPr>
        <w:t xml:space="preserve"> </w:t>
      </w:r>
      <w:r w:rsidRPr="00C45DE8">
        <w:rPr>
          <w:rFonts w:ascii="Arial" w:hAnsi="Arial" w:cs="Arial"/>
          <w:bCs/>
          <w:lang w:val="ru-RU"/>
        </w:rPr>
        <w:t>Ковтун, О. І.</w:t>
      </w:r>
      <w:r>
        <w:rPr>
          <w:rFonts w:ascii="Arial" w:hAnsi="Arial" w:cs="Arial"/>
          <w:bCs/>
          <w:lang w:val="ru-RU"/>
        </w:rPr>
        <w:t xml:space="preserve"> </w:t>
      </w:r>
      <w:r w:rsidRPr="00C45DE8">
        <w:rPr>
          <w:rFonts w:ascii="Arial" w:hAnsi="Arial" w:cs="Arial"/>
          <w:bCs/>
          <w:lang w:val="ru-RU"/>
        </w:rPr>
        <w:t>Колодяжна, К. В. Бабін // Статистика України. – 2020. – № 1. – C. 91</w:t>
      </w:r>
      <w:r>
        <w:rPr>
          <w:rFonts w:ascii="Arial" w:hAnsi="Arial" w:cs="Arial"/>
          <w:bCs/>
          <w:lang w:val="ru-RU"/>
        </w:rPr>
        <w:t>-</w:t>
      </w:r>
      <w:r w:rsidRPr="00C45DE8">
        <w:rPr>
          <w:rFonts w:ascii="Arial" w:hAnsi="Arial" w:cs="Arial"/>
          <w:bCs/>
          <w:lang w:val="ru-RU"/>
        </w:rPr>
        <w:t>101.</w:t>
      </w:r>
    </w:p>
    <w:p w:rsidR="001F5295" w:rsidRPr="00C45DE8" w:rsidRDefault="001F5295" w:rsidP="001F5295">
      <w:pPr>
        <w:ind w:firstLine="284"/>
        <w:jc w:val="both"/>
        <w:rPr>
          <w:rFonts w:ascii="Arial" w:hAnsi="Arial" w:cs="Arial"/>
          <w:bCs/>
          <w:lang w:val="ru-RU"/>
        </w:rPr>
      </w:pPr>
      <w:r w:rsidRPr="00C45DE8">
        <w:rPr>
          <w:rFonts w:ascii="Arial" w:hAnsi="Arial" w:cs="Arial"/>
          <w:bCs/>
          <w:lang w:val="ru-RU"/>
        </w:rPr>
        <w:t>Економіка охорони здоров’я зараз перетворилася на комплексну науку, яка спирається на суміжні дисципліни, включаючи епідеміологію, статистику, психологію, соціологію, дослідження операцій та математику. Отже, економіка охорони здоров’я є комплексом економічних і статистичних дисциплін, які виступають базою прийняття рішень особами – постачальниками медичних послуг та урядом щодо системи охорони здоров’я. Вона також охоплює сукупність аналітичних методів, що застосовуються в аналізі ринку медичних послуг.</w:t>
      </w:r>
    </w:p>
    <w:p w:rsidR="001F5295" w:rsidRPr="00C45DE8" w:rsidRDefault="001F5295" w:rsidP="001F5295">
      <w:pPr>
        <w:ind w:firstLine="284"/>
        <w:jc w:val="both"/>
        <w:rPr>
          <w:rFonts w:ascii="Arial" w:hAnsi="Arial" w:cs="Arial"/>
          <w:bCs/>
          <w:lang w:val="ru-RU"/>
        </w:rPr>
      </w:pPr>
      <w:r w:rsidRPr="00C45DE8">
        <w:rPr>
          <w:rFonts w:ascii="Arial" w:hAnsi="Arial" w:cs="Arial"/>
          <w:bCs/>
          <w:lang w:val="ru-RU"/>
        </w:rPr>
        <w:t>“Економіка охорони здоров’я та статистика” – сучасна магістерська програма, головним завданням якої є підготовка фахівців зі статистики, здатних розв’язувати складні завдання та вирішувати нетривіальні проблеми, приймати відповідні аналітичні рішення у сфері клінічних досліджень та управлінські рішення у сфері охорони здоров’я суспільства, що передбачає проведення досліджень та впровадження інновацій в умовах невизначеності. Оволодіння статистичними методами дає можливість студентам набути сучасних навичок аналітичної роботи у сфері клінічних досліджень та охорони здоров’я.</w:t>
      </w:r>
    </w:p>
    <w:p w:rsidR="001F5295" w:rsidRPr="00C45DE8" w:rsidRDefault="001F5295" w:rsidP="001F5295">
      <w:pPr>
        <w:ind w:firstLine="284"/>
        <w:jc w:val="both"/>
        <w:rPr>
          <w:rFonts w:ascii="Arial" w:hAnsi="Arial" w:cs="Arial"/>
          <w:bCs/>
          <w:lang w:val="ru-RU"/>
        </w:rPr>
      </w:pPr>
      <w:r w:rsidRPr="00C45DE8">
        <w:rPr>
          <w:rFonts w:ascii="Arial" w:hAnsi="Arial" w:cs="Arial"/>
          <w:bCs/>
          <w:lang w:val="ru-RU"/>
        </w:rPr>
        <w:t>Завдання магістерської програми орієнтовані на надання студентам необхідної інформації про міжнародний досвід проведення клінічних досліджень, формування критичного розуміння процесу ціноутворення в галузі охорони здоров’я, а також механізму відшкодування витрат на медичні послуги, який існує у світі. Крім того, за результатами програми у студентів буде сформовано уявлення про існуючи концепції системи охорони здоров’я та методи, необхідні для аналізу політики у цій сфері.</w:t>
      </w:r>
    </w:p>
    <w:p w:rsidR="001F5295" w:rsidRPr="00C45DE8" w:rsidRDefault="001F5295" w:rsidP="001F5295">
      <w:pPr>
        <w:ind w:firstLine="284"/>
        <w:jc w:val="both"/>
        <w:rPr>
          <w:rFonts w:ascii="Arial" w:hAnsi="Arial" w:cs="Arial"/>
          <w:bCs/>
          <w:lang w:val="ru-RU"/>
        </w:rPr>
      </w:pPr>
      <w:r w:rsidRPr="00C45DE8">
        <w:rPr>
          <w:rFonts w:ascii="Arial" w:hAnsi="Arial" w:cs="Arial"/>
          <w:bCs/>
          <w:lang w:val="ru-RU"/>
        </w:rPr>
        <w:t>Переваги освітньої програми орієнтовані на набуття навичок та вмінь прикладного статистичного аналізу, що є невід’ємною вимогою високої кваліфікації аналітика у сфері клінічних досліджень та охорони здоров’я. Це забезпечується: 1) інтеграцією практики з академічним навчанням; 2) можливістю зробити внесок у розвиток власного потенціалу; 3) розширенням можливостей проведення наукових досліджень; 4) можливістю захистити магістерську роботу на реальному проекті; 5) наданням реальної можливості майбутньої працездатності.</w:t>
      </w:r>
    </w:p>
    <w:p w:rsidR="001F5295" w:rsidRDefault="001F5295" w:rsidP="001F5295">
      <w:pPr>
        <w:ind w:firstLine="284"/>
        <w:jc w:val="both"/>
        <w:rPr>
          <w:rFonts w:ascii="Arial" w:hAnsi="Arial" w:cs="Arial"/>
          <w:bCs/>
          <w:lang w:val="ru-RU"/>
        </w:rPr>
      </w:pPr>
      <w:r w:rsidRPr="00C45DE8">
        <w:rPr>
          <w:rFonts w:ascii="Arial" w:hAnsi="Arial" w:cs="Arial"/>
          <w:bCs/>
          <w:lang w:val="ru-RU"/>
        </w:rPr>
        <w:t>Отже, реалізація цієї програми надасть можливість готувати висококваліфікованих фахівців-аналітиків у сфері клінічних досліджень та охорони здоров’я. Спеціалісти матимуть високий попит на ринку праці у приватному секторі клінічних досліджень національного та міжнародного рівня, у національних, регіональних і місцевих громадських організаціях та установах, на посадах, пов’язаних з плануванням, збиранням, опрацюванням та аналізом клінічних даних і даних, що характеризують здоров’я населення, а також оцінюванням якості управлінських рішень у сфері охорони здоров’я. Усе це, своєю чергою, сприятиме забезпеченню конкурентоздатності фахівців і підвищенню престижу спеціальності.</w:t>
      </w:r>
    </w:p>
    <w:p w:rsidR="001F5295" w:rsidRDefault="001F5295" w:rsidP="001F5295">
      <w:pPr>
        <w:ind w:firstLine="284"/>
        <w:jc w:val="both"/>
        <w:rPr>
          <w:rFonts w:ascii="Arial" w:hAnsi="Arial" w:cs="Arial"/>
          <w:bCs/>
          <w:lang w:val="ru-RU"/>
        </w:rPr>
      </w:pPr>
    </w:p>
    <w:p w:rsidR="001F5295" w:rsidRPr="008502CE" w:rsidRDefault="001F5295" w:rsidP="001F5295">
      <w:pPr>
        <w:ind w:firstLine="284"/>
        <w:jc w:val="both"/>
        <w:rPr>
          <w:rFonts w:ascii="Arial" w:hAnsi="Arial" w:cs="Arial"/>
          <w:bCs/>
          <w:spacing w:val="-6"/>
          <w:lang w:val="ru-RU"/>
        </w:rPr>
      </w:pPr>
      <w:r w:rsidRPr="008502CE">
        <w:rPr>
          <w:rFonts w:ascii="Arial" w:hAnsi="Arial" w:cs="Arial"/>
          <w:b/>
          <w:bCs/>
          <w:spacing w:val="-6"/>
          <w:lang w:val="ru-RU"/>
        </w:rPr>
        <w:t>Кулинич, Р. О. Індексний аналіз адміністративних правопорушень в Україні за період 2014–2018 рр.</w:t>
      </w:r>
      <w:r w:rsidRPr="008502CE">
        <w:rPr>
          <w:rFonts w:ascii="Arial" w:hAnsi="Arial" w:cs="Arial"/>
          <w:bCs/>
          <w:spacing w:val="-6"/>
          <w:lang w:val="ru-RU"/>
        </w:rPr>
        <w:t xml:space="preserve"> / Р. О. Кулинич // Статистика України. – 2020. – № 1. – C. 102</w:t>
      </w:r>
      <w:r>
        <w:rPr>
          <w:rFonts w:ascii="Arial" w:hAnsi="Arial" w:cs="Arial"/>
          <w:bCs/>
          <w:spacing w:val="-6"/>
          <w:lang w:val="ru-RU"/>
        </w:rPr>
        <w:t>-</w:t>
      </w:r>
      <w:r w:rsidRPr="008502CE">
        <w:rPr>
          <w:rFonts w:ascii="Arial" w:hAnsi="Arial" w:cs="Arial"/>
          <w:bCs/>
          <w:spacing w:val="-6"/>
          <w:lang w:val="ru-RU"/>
        </w:rPr>
        <w:t>107.</w:t>
      </w:r>
    </w:p>
    <w:p w:rsidR="001F5295" w:rsidRPr="008502CE" w:rsidRDefault="001F5295" w:rsidP="001F5295">
      <w:pPr>
        <w:ind w:firstLine="284"/>
        <w:jc w:val="both"/>
        <w:rPr>
          <w:rFonts w:ascii="Arial" w:hAnsi="Arial" w:cs="Arial"/>
          <w:bCs/>
          <w:lang w:val="ru-RU"/>
        </w:rPr>
      </w:pPr>
      <w:r w:rsidRPr="008502CE">
        <w:rPr>
          <w:rFonts w:ascii="Arial" w:hAnsi="Arial" w:cs="Arial"/>
          <w:bCs/>
          <w:lang w:val="ru-RU"/>
        </w:rPr>
        <w:t>Об’єктивну оцінку стану й розвитку суспільно-економічних явищ і процесів можна забезпечити тільки застосуванням правильно підібраних статистичних та математичних методів. Ці методи перестають бути предметом інтересу у практичній діяльності у тих випадках, коли немає впевненості, якою мірою їх можна застосувати для вирішення конкретних завдань. В умовах значного прогресу в технології збирання й опрацювання статистичних даних кваліфіковане застосування статистичних і математичних методів істотно гальмується саме недостатнім знанням методів, їх властивостей, сфер застосування та можливостей щодо оцінки інформації.</w:t>
      </w:r>
    </w:p>
    <w:p w:rsidR="001F5295" w:rsidRPr="008502CE" w:rsidRDefault="001F5295" w:rsidP="001F5295">
      <w:pPr>
        <w:ind w:firstLine="284"/>
        <w:jc w:val="both"/>
        <w:rPr>
          <w:rFonts w:ascii="Arial" w:hAnsi="Arial" w:cs="Arial"/>
          <w:bCs/>
          <w:lang w:val="ru-RU"/>
        </w:rPr>
      </w:pPr>
      <w:r w:rsidRPr="008502CE">
        <w:rPr>
          <w:rFonts w:ascii="Arial" w:hAnsi="Arial" w:cs="Arial"/>
          <w:bCs/>
          <w:lang w:val="ru-RU"/>
        </w:rPr>
        <w:t>У статті розглянуто застосування індексного методу для статистичного оцінювання функціональних взаємозв’язків соціальних та економічних явищ і процесів. Висвітлено методику індексного аналізу статистичних даних щодо адміністративних правопорушень. Показано, що для розв’язання поставлених завдань можна скористатися аналітичною системою статистичних індексів, методом статистичних групувань, прийомами статистичного налізу структурних зрушень.</w:t>
      </w:r>
    </w:p>
    <w:p w:rsidR="001F5295" w:rsidRDefault="001F5295" w:rsidP="001F5295">
      <w:pPr>
        <w:ind w:firstLine="284"/>
        <w:jc w:val="both"/>
        <w:rPr>
          <w:rFonts w:ascii="Arial" w:hAnsi="Arial" w:cs="Arial"/>
          <w:bCs/>
          <w:lang w:val="ru-RU"/>
        </w:rPr>
      </w:pPr>
      <w:r w:rsidRPr="008502CE">
        <w:rPr>
          <w:rFonts w:ascii="Arial" w:hAnsi="Arial" w:cs="Arial"/>
          <w:bCs/>
          <w:lang w:val="ru-RU"/>
        </w:rPr>
        <w:t xml:space="preserve">Наведено науково-методичні положення індексного аналізу адміністративних правопорушень за даними про суми накладеного штрафу, суми штрафу, сплаченого добровільно, та розмір заподіяної майнової шкоди. Проаналізовано статистичну інформацію про динаміку сум штрафів та майнової шкоди по Україні за період 2014–2018 рр., а також інформацію про накладення сум штрафів залежно </w:t>
      </w:r>
      <w:r w:rsidRPr="008502CE">
        <w:rPr>
          <w:rFonts w:ascii="Arial" w:hAnsi="Arial" w:cs="Arial"/>
          <w:bCs/>
          <w:lang w:val="ru-RU"/>
        </w:rPr>
        <w:lastRenderedPageBreak/>
        <w:t>від результатів діяльності адміністративних органів держави, в тому числі за законодавчими підставами накладання штрафу. Потребує подальшого дослідження висунута гіпотеза про недостатню якість підготовки адміністративних матеріалів відповідними органами влади, оскільки добровільний рівень сплати штрафів, судова практика місцевих судів чи відшкодування матеріальної шкоди знаходяться, як правило, на низькому рівні. З урахуванням наведеної вище гіпотези встановлено, що зростання сум накладеного штрафу пов’язується виключно з кількістю адміністративних справ, а не з якістю підготовки інформації про них.</w:t>
      </w:r>
    </w:p>
    <w:p w:rsidR="001F5295" w:rsidRDefault="001F5295" w:rsidP="001F5295">
      <w:pPr>
        <w:ind w:firstLine="284"/>
        <w:jc w:val="both"/>
        <w:rPr>
          <w:rFonts w:ascii="Arial" w:hAnsi="Arial" w:cs="Arial"/>
          <w:bCs/>
          <w:lang w:val="ru-RU"/>
        </w:rPr>
      </w:pPr>
    </w:p>
    <w:p w:rsidR="001F5295" w:rsidRDefault="001F5295" w:rsidP="001F5295">
      <w:pPr>
        <w:ind w:firstLine="284"/>
        <w:jc w:val="both"/>
        <w:rPr>
          <w:rFonts w:ascii="Arial" w:hAnsi="Arial" w:cs="Arial"/>
          <w:bCs/>
          <w:lang w:val="ru-RU"/>
        </w:rPr>
      </w:pPr>
      <w:r w:rsidRPr="008502CE">
        <w:rPr>
          <w:rFonts w:ascii="Arial" w:hAnsi="Arial" w:cs="Arial"/>
          <w:b/>
          <w:bCs/>
          <w:lang w:val="ru-RU"/>
        </w:rPr>
        <w:t>Мотузюк, І. М. Статистичний аналіз факторів, що впливають на виживаність жінок, хворих на рак грудної залози, за видами спеціального лікування</w:t>
      </w:r>
      <w:r w:rsidRPr="008502CE">
        <w:rPr>
          <w:rFonts w:ascii="Arial" w:hAnsi="Arial" w:cs="Arial"/>
          <w:bCs/>
          <w:lang w:val="ru-RU"/>
        </w:rPr>
        <w:t xml:space="preserve"> / І. М.</w:t>
      </w:r>
      <w:r>
        <w:rPr>
          <w:rFonts w:ascii="Arial" w:hAnsi="Arial" w:cs="Arial"/>
          <w:bCs/>
          <w:lang w:val="ru-RU"/>
        </w:rPr>
        <w:t xml:space="preserve"> </w:t>
      </w:r>
      <w:r w:rsidRPr="008502CE">
        <w:rPr>
          <w:rFonts w:ascii="Arial" w:hAnsi="Arial" w:cs="Arial"/>
          <w:bCs/>
          <w:lang w:val="ru-RU"/>
        </w:rPr>
        <w:t>Мотузюк, О. М.</w:t>
      </w:r>
      <w:r>
        <w:rPr>
          <w:rFonts w:ascii="Arial" w:hAnsi="Arial" w:cs="Arial"/>
          <w:bCs/>
          <w:lang w:val="ru-RU"/>
        </w:rPr>
        <w:t xml:space="preserve"> </w:t>
      </w:r>
      <w:r w:rsidRPr="008502CE">
        <w:rPr>
          <w:rFonts w:ascii="Arial" w:hAnsi="Arial" w:cs="Arial"/>
          <w:bCs/>
          <w:lang w:val="ru-RU"/>
        </w:rPr>
        <w:t>Думенко // Статистика України. – 2020. – № 1. – C. 108</w:t>
      </w:r>
      <w:r>
        <w:rPr>
          <w:rFonts w:ascii="Arial" w:hAnsi="Arial" w:cs="Arial"/>
          <w:bCs/>
          <w:lang w:val="ru-RU"/>
        </w:rPr>
        <w:t>-</w:t>
      </w:r>
      <w:r w:rsidRPr="008502CE">
        <w:rPr>
          <w:rFonts w:ascii="Arial" w:hAnsi="Arial" w:cs="Arial"/>
          <w:bCs/>
          <w:lang w:val="ru-RU"/>
        </w:rPr>
        <w:t>115.</w:t>
      </w:r>
    </w:p>
    <w:p w:rsidR="001F5295" w:rsidRPr="008502CE" w:rsidRDefault="001F5295" w:rsidP="001F5295">
      <w:pPr>
        <w:ind w:firstLine="284"/>
        <w:jc w:val="both"/>
        <w:rPr>
          <w:rFonts w:ascii="Arial" w:hAnsi="Arial" w:cs="Arial"/>
          <w:bCs/>
          <w:lang w:val="ru-RU"/>
        </w:rPr>
      </w:pPr>
      <w:r w:rsidRPr="008502CE">
        <w:rPr>
          <w:rFonts w:ascii="Arial" w:hAnsi="Arial" w:cs="Arial"/>
          <w:bCs/>
          <w:lang w:val="ru-RU"/>
        </w:rPr>
        <w:t>За даними національного канцер-реєстру проведений статистичний аналіз захворюваності жінок на рак грудної залози в Україні. Описана складність та неоднозначність проблеми вибору виду спеціального лікування, а саме: оперативного лікування та комбінованого оперативного лікування. Комбіноване оперативне лікування представлено у двох варіантах: як комбінація оперативного лікування та променевої терапії та комбінація оперативного лікування, променевої терапії та хіміотерапії.</w:t>
      </w:r>
    </w:p>
    <w:p w:rsidR="001F5295" w:rsidRPr="008502CE" w:rsidRDefault="001F5295" w:rsidP="001F5295">
      <w:pPr>
        <w:ind w:firstLine="284"/>
        <w:jc w:val="both"/>
        <w:rPr>
          <w:rFonts w:ascii="Arial" w:hAnsi="Arial" w:cs="Arial"/>
          <w:bCs/>
          <w:lang w:val="ru-RU"/>
        </w:rPr>
      </w:pPr>
      <w:r w:rsidRPr="008502CE">
        <w:rPr>
          <w:rFonts w:ascii="Arial" w:hAnsi="Arial" w:cs="Arial"/>
          <w:bCs/>
          <w:lang w:val="ru-RU"/>
        </w:rPr>
        <w:t>За даними про пацієнток, які отримали лікування у Національному інституті раку, проведено статистичний аналіз, у рамках якого досліджено позитивні та негативні результати кожного виду спеціального лікування. Обґрунтовано необхідність і проведено аналіз виживаності у розрізах загальної виживаності та безрецидивної виживаності за видами спеціального лікування. На підставі отриманих результатів зроблені висновки щодо п’ятирічної виживаності.</w:t>
      </w:r>
    </w:p>
    <w:p w:rsidR="001F5295" w:rsidRPr="008502CE" w:rsidRDefault="001F5295" w:rsidP="001F5295">
      <w:pPr>
        <w:ind w:firstLine="284"/>
        <w:jc w:val="both"/>
        <w:rPr>
          <w:rFonts w:ascii="Arial" w:hAnsi="Arial" w:cs="Arial"/>
          <w:bCs/>
          <w:lang w:val="ru-RU"/>
        </w:rPr>
      </w:pPr>
      <w:r w:rsidRPr="008502CE">
        <w:rPr>
          <w:rFonts w:ascii="Arial" w:hAnsi="Arial" w:cs="Arial"/>
          <w:bCs/>
          <w:lang w:val="ru-RU"/>
        </w:rPr>
        <w:t>Наведені особливості роботи з цензурованими даними та викладена методологія оцінювання значущості факторів за методом Каплана – Мейєра. Надана характеристика розподілів пацієнток, які отримали лікування у Національному інституті раку. Це надало можливість сформувати репрезентативну вибірку, на основі якої здійснено порівняльний аналіз виживаності жінок, хворих на рак грудної залози, за видами спеціального лікування.</w:t>
      </w:r>
    </w:p>
    <w:p w:rsidR="001F5295" w:rsidRPr="008502CE" w:rsidRDefault="001F5295" w:rsidP="001F5295">
      <w:pPr>
        <w:ind w:firstLine="284"/>
        <w:jc w:val="both"/>
        <w:rPr>
          <w:rFonts w:ascii="Arial" w:hAnsi="Arial" w:cs="Arial"/>
          <w:bCs/>
          <w:lang w:val="ru-RU"/>
        </w:rPr>
      </w:pPr>
      <w:r w:rsidRPr="008502CE">
        <w:rPr>
          <w:rFonts w:ascii="Arial" w:hAnsi="Arial" w:cs="Arial"/>
          <w:bCs/>
          <w:lang w:val="ru-RU"/>
        </w:rPr>
        <w:t>Побудовано криві виживаності, на основі яких здійснено порівняльний аналіз за видами спеціального лікування. Це надало можливість визначити відповідні показники п’ятирічної виживаності пацієнток. Проаналізовано низку факторів, що можуть бути значущими та впливати на виживаність хворих на рак грудної залози із використанням стратифікованого аналізу за видами лікування. Здійснено перевірку гіпотези про невипадковість за допомогою Log rank та Wilcoxon тестів.</w:t>
      </w:r>
    </w:p>
    <w:p w:rsidR="001F5295" w:rsidRDefault="001F5295" w:rsidP="001F5295">
      <w:pPr>
        <w:ind w:firstLine="284"/>
        <w:jc w:val="both"/>
        <w:rPr>
          <w:rFonts w:ascii="Arial" w:hAnsi="Arial" w:cs="Arial"/>
          <w:bCs/>
          <w:lang w:val="ru-RU"/>
        </w:rPr>
      </w:pPr>
      <w:r w:rsidRPr="008502CE">
        <w:rPr>
          <w:rFonts w:ascii="Arial" w:hAnsi="Arial" w:cs="Arial"/>
          <w:bCs/>
          <w:lang w:val="ru-RU"/>
        </w:rPr>
        <w:t>На підставі отриманих результатів окреслені можливості подальшого аналізу з метою прогнозування виживаності жінок досліджуваних груп та визначення відношення ризиків істотних факторів за різних рівнів дії інших факторів, що допоможе сформулювати рекомендації щодо вибору виду спеціального лікування.</w:t>
      </w:r>
    </w:p>
    <w:p w:rsidR="001F5295" w:rsidRDefault="001F5295" w:rsidP="001F5295">
      <w:pPr>
        <w:ind w:firstLine="284"/>
        <w:jc w:val="both"/>
        <w:rPr>
          <w:rFonts w:ascii="Arial" w:hAnsi="Arial" w:cs="Arial"/>
          <w:bCs/>
          <w:lang w:val="ru-RU"/>
        </w:rPr>
      </w:pPr>
      <w:r w:rsidRPr="009A3E24">
        <w:rPr>
          <w:rFonts w:ascii="Arial" w:hAnsi="Arial" w:cs="Arial"/>
          <w:b/>
          <w:bCs/>
          <w:lang w:val="ru-RU"/>
        </w:rPr>
        <w:t>Лубенченко, О. Е. Методика підготовки суб’єктів аудиторської діяльності до зовнішнього контролю якості аудиторських послуг</w:t>
      </w:r>
      <w:r w:rsidRPr="008502CE">
        <w:rPr>
          <w:rFonts w:ascii="Arial" w:hAnsi="Arial" w:cs="Arial"/>
          <w:bCs/>
          <w:lang w:val="ru-RU"/>
        </w:rPr>
        <w:t xml:space="preserve"> / </w:t>
      </w:r>
      <w:r w:rsidRPr="009A3E24">
        <w:rPr>
          <w:rFonts w:ascii="Arial" w:hAnsi="Arial" w:cs="Arial"/>
          <w:bCs/>
          <w:lang w:val="ru-RU"/>
        </w:rPr>
        <w:t>О. Е.</w:t>
      </w:r>
      <w:r>
        <w:rPr>
          <w:rFonts w:ascii="Arial" w:hAnsi="Arial" w:cs="Arial"/>
          <w:bCs/>
          <w:lang w:val="ru-RU"/>
        </w:rPr>
        <w:t xml:space="preserve"> </w:t>
      </w:r>
      <w:r w:rsidRPr="009A3E24">
        <w:rPr>
          <w:rFonts w:ascii="Arial" w:hAnsi="Arial" w:cs="Arial"/>
          <w:bCs/>
          <w:lang w:val="ru-RU"/>
        </w:rPr>
        <w:t xml:space="preserve">Лубенченко, А. В. Лисюк </w:t>
      </w:r>
      <w:r w:rsidRPr="008502CE">
        <w:rPr>
          <w:rFonts w:ascii="Arial" w:hAnsi="Arial" w:cs="Arial"/>
          <w:bCs/>
          <w:lang w:val="ru-RU"/>
        </w:rPr>
        <w:t>// Статистика України. – 2020. – № 1. – C. 116</w:t>
      </w:r>
      <w:r>
        <w:rPr>
          <w:rFonts w:ascii="Arial" w:hAnsi="Arial" w:cs="Arial"/>
          <w:bCs/>
          <w:lang w:val="ru-RU"/>
        </w:rPr>
        <w:t>-</w:t>
      </w:r>
      <w:r w:rsidRPr="008502CE">
        <w:rPr>
          <w:rFonts w:ascii="Arial" w:hAnsi="Arial" w:cs="Arial"/>
          <w:bCs/>
          <w:lang w:val="ru-RU"/>
        </w:rPr>
        <w:t>130.</w:t>
      </w:r>
    </w:p>
    <w:p w:rsidR="001F5295" w:rsidRPr="009A3E24" w:rsidRDefault="001F5295" w:rsidP="001F5295">
      <w:pPr>
        <w:ind w:firstLine="284"/>
        <w:jc w:val="both"/>
        <w:rPr>
          <w:rFonts w:ascii="Arial" w:hAnsi="Arial" w:cs="Arial"/>
          <w:bCs/>
          <w:lang w:val="ru-RU"/>
        </w:rPr>
      </w:pPr>
      <w:r w:rsidRPr="009A3E24">
        <w:rPr>
          <w:rFonts w:ascii="Arial" w:hAnsi="Arial" w:cs="Arial"/>
          <w:bCs/>
          <w:lang w:val="ru-RU"/>
        </w:rPr>
        <w:t>Проаналізовано вимоги до системи контролю якості аудиторських послуг, визначених Законом України від 21.12.2017 р. № 2258-VIII “Про аудит фінансової звітності та аудиторську діяльність”, Наказом Міністерства фінансів України від 29.08.2019 р. № 362 “Про затвердження Порядку проведення перевірок з контролю якості аудиторських послуг”, Рішення Ради нагляду за аудиторською діяльністю Державної установи “Орган суспільного нагляду за аудиторською діяльністю” від 30.08.2019 р. № 6/7/13 “Інформаційна анкета суб’єкта аудиторської діяльності”. Визначено, що система контролю якості вимагає коригування щодо: відповідальності керівництва та персоналу суб’єктів аудиторської діяльності за застосування розроблених внутрішньофірмових положень щодо системи контролю якості, вимог МСКЯ1, МСА, Закону України “Про аудит фінансової звітності та аудиторську діяльність”; вимог до персоналу (контролер якості, рецензент, партнер із завдання); ідентифікації загроз незалежності та відповіді аудитора на оцінені загрози; вимог до розгляду скарг, складних питань, питань, пов’язаних із безперервним професійним навчанням аудиторів. Особливої уваги аудиторів потребує той факт, що політики і процедури системи контролю якості мають поширюватися не лише на аудит фінансової звітності, інші завдання з надання впевненості, а і на супутні аудиторські послуги. Крім того, оцінка загроз незалежності має проводитись і для неаудиторських процедур, передбачених ст. 6 вищезазначеного Закону України.</w:t>
      </w:r>
    </w:p>
    <w:p w:rsidR="001F5295" w:rsidRDefault="001F5295" w:rsidP="001F5295">
      <w:pPr>
        <w:ind w:firstLine="284"/>
        <w:jc w:val="both"/>
        <w:rPr>
          <w:rFonts w:ascii="Arial" w:hAnsi="Arial" w:cs="Arial"/>
          <w:bCs/>
          <w:lang w:val="ru-RU"/>
        </w:rPr>
      </w:pPr>
      <w:r w:rsidRPr="009A3E24">
        <w:rPr>
          <w:rFonts w:ascii="Arial" w:hAnsi="Arial" w:cs="Arial"/>
          <w:bCs/>
          <w:lang w:val="ru-RU"/>
        </w:rPr>
        <w:t xml:space="preserve">У ході проведених досліджень розроблені процедури контролю якості аудиторських послуг, заходи стимулювання персоналу суб’єктів аудиторської діяльності щодо вивчення вимог до упровадження системи контролю якості, розпорядчі документи аудиторських фірм щодо оцінки етичних загроз, розподілу обов’язків членів групи із завдання, вимог до кваліфікації ключового партнера, контролера якості, ідентифікації аудиторських завдань, розв’язання складних питань та їх документування, контрольні заходи щодо виконання завдання на завершальному етапі та контроль якості завдання. Запропоновані заходи дозволять суб’єктам аудиторської діяльності своєчасно переглянути вже діючі системи контролю якості, що сприятиме забезпеченню якісною інформацією </w:t>
      </w:r>
      <w:r w:rsidRPr="009A3E24">
        <w:rPr>
          <w:rFonts w:ascii="Arial" w:hAnsi="Arial" w:cs="Arial"/>
          <w:bCs/>
          <w:lang w:val="ru-RU"/>
        </w:rPr>
        <w:lastRenderedPageBreak/>
        <w:t>всіх користувачів аудиторських звітів, зовнішніх контролерів якості Органу суспільного нагляду за аудиторською діяльністю та Аудиторської палати України.</w:t>
      </w:r>
    </w:p>
    <w:p w:rsidR="001F5295" w:rsidRDefault="001F5295" w:rsidP="001F5295">
      <w:pPr>
        <w:ind w:firstLine="284"/>
        <w:jc w:val="both"/>
        <w:rPr>
          <w:rFonts w:ascii="Arial" w:hAnsi="Arial" w:cs="Arial"/>
          <w:bCs/>
          <w:lang w:val="ru-RU"/>
        </w:rPr>
      </w:pPr>
    </w:p>
    <w:p w:rsidR="001F5295" w:rsidRDefault="001F5295" w:rsidP="001F5295">
      <w:pPr>
        <w:ind w:firstLine="284"/>
        <w:jc w:val="both"/>
        <w:rPr>
          <w:rFonts w:ascii="Arial" w:hAnsi="Arial" w:cs="Arial"/>
          <w:bCs/>
          <w:lang w:val="ru-RU"/>
        </w:rPr>
      </w:pPr>
      <w:r w:rsidRPr="009A3E24">
        <w:rPr>
          <w:rFonts w:ascii="Arial" w:hAnsi="Arial" w:cs="Arial"/>
          <w:b/>
          <w:bCs/>
          <w:lang w:val="ru-RU"/>
        </w:rPr>
        <w:t>Моцний, Ф. В. Наукові відкриття Нобелівського рангу спадкоємця запорізьких козаків</w:t>
      </w:r>
      <w:r w:rsidRPr="009A3E24">
        <w:rPr>
          <w:rFonts w:ascii="Arial" w:hAnsi="Arial" w:cs="Arial"/>
          <w:bCs/>
          <w:lang w:val="ru-RU"/>
        </w:rPr>
        <w:t xml:space="preserve"> / Ф. В. Моцний // </w:t>
      </w:r>
      <w:bookmarkStart w:id="0" w:name="_GoBack"/>
      <w:r w:rsidRPr="009A3E24">
        <w:rPr>
          <w:rFonts w:ascii="Arial" w:hAnsi="Arial" w:cs="Arial"/>
          <w:bCs/>
          <w:lang w:val="ru-RU"/>
        </w:rPr>
        <w:t xml:space="preserve">Статистика України. – 2020. – № 1. </w:t>
      </w:r>
      <w:bookmarkEnd w:id="0"/>
      <w:r w:rsidRPr="009A3E24">
        <w:rPr>
          <w:rFonts w:ascii="Arial" w:hAnsi="Arial" w:cs="Arial"/>
          <w:bCs/>
          <w:lang w:val="ru-RU"/>
        </w:rPr>
        <w:t>– C. 131</w:t>
      </w:r>
      <w:r>
        <w:rPr>
          <w:rFonts w:ascii="Arial" w:hAnsi="Arial" w:cs="Arial"/>
          <w:bCs/>
          <w:lang w:val="ru-RU"/>
        </w:rPr>
        <w:t>-</w:t>
      </w:r>
      <w:r w:rsidRPr="009A3E24">
        <w:rPr>
          <w:rFonts w:ascii="Arial" w:hAnsi="Arial" w:cs="Arial"/>
          <w:bCs/>
          <w:lang w:val="ru-RU"/>
        </w:rPr>
        <w:t>138</w:t>
      </w:r>
      <w:r>
        <w:rPr>
          <w:rFonts w:ascii="Arial" w:hAnsi="Arial" w:cs="Arial"/>
          <w:bCs/>
          <w:lang w:val="ru-RU"/>
        </w:rPr>
        <w:t>.</w:t>
      </w:r>
    </w:p>
    <w:p w:rsidR="001F5295" w:rsidRPr="009A3E24" w:rsidRDefault="001F5295" w:rsidP="001F5295">
      <w:pPr>
        <w:ind w:firstLine="284"/>
        <w:jc w:val="both"/>
        <w:rPr>
          <w:rFonts w:ascii="Arial" w:hAnsi="Arial" w:cs="Arial"/>
          <w:bCs/>
          <w:lang w:val="ru-RU"/>
        </w:rPr>
      </w:pPr>
      <w:r w:rsidRPr="009A3E24">
        <w:rPr>
          <w:rFonts w:ascii="Arial" w:hAnsi="Arial" w:cs="Arial"/>
          <w:bCs/>
          <w:lang w:val="ru-RU"/>
        </w:rPr>
        <w:t>У роботі з єдиної науково-методичної позиції розглянуті три фундаментальні відкриття народженого в Україні професора Григорія Антоновича Гамова, кожне з яких заслуговує на Нобелівську премію – найбільш престижну світову відзнаку досягнень науковців.</w:t>
      </w:r>
    </w:p>
    <w:p w:rsidR="001F5295" w:rsidRPr="009A3E24" w:rsidRDefault="001F5295" w:rsidP="001F5295">
      <w:pPr>
        <w:ind w:firstLine="284"/>
        <w:jc w:val="both"/>
        <w:rPr>
          <w:rFonts w:ascii="Arial" w:hAnsi="Arial" w:cs="Arial"/>
          <w:bCs/>
          <w:lang w:val="ru-RU"/>
        </w:rPr>
      </w:pPr>
      <w:r w:rsidRPr="009A3E24">
        <w:rPr>
          <w:rFonts w:ascii="Arial" w:hAnsi="Arial" w:cs="Arial"/>
          <w:bCs/>
          <w:lang w:val="ru-RU"/>
        </w:rPr>
        <w:t>Простежено становлення Г. Гамова як одного з найвидатніших учених ХХ століття – енциклопедиста, фізика-теоретика за покликанням, астрофізика, космолога і біофізика, талановитого і блискучого популяризатора науки, твори якого читаються на одному диханні, а також автора незабутніх витівок і жартів. Г. Гамов був членом Данської королівської академії наук, Американської академії мистецтв і наук, Міжнародного астрономічного союзу, Американського фізичного товариства, почесним доктором багатьох університетів світу. І хоча його ім’я мало відоме в Україні, проте без нього історія науки була б неповною.</w:t>
      </w:r>
    </w:p>
    <w:p w:rsidR="001F5295" w:rsidRPr="009A3E24" w:rsidRDefault="001F5295" w:rsidP="001F5295">
      <w:pPr>
        <w:ind w:firstLine="284"/>
        <w:jc w:val="both"/>
        <w:rPr>
          <w:rFonts w:ascii="Arial" w:hAnsi="Arial" w:cs="Arial"/>
          <w:bCs/>
          <w:lang w:val="ru-RU"/>
        </w:rPr>
      </w:pPr>
      <w:r w:rsidRPr="009A3E24">
        <w:rPr>
          <w:rFonts w:ascii="Arial" w:hAnsi="Arial" w:cs="Arial"/>
          <w:bCs/>
          <w:lang w:val="ru-RU"/>
        </w:rPr>
        <w:t>Уже з раннього дитинства Г. Гамов проявив неабиякий інтерес до наукових досліджень, використавши мікроскоп для пошуку еритроцитів і телескоп для спостереження за кометою Галлея. Він закінчив фізико-математичний факультет Ленінградського державного університету, де слухав лекції засновника еволюційної космології професора О. Фрідмана. Стажувався у Геттінгенському університеті – центрі тодішньої теоретичної фізики, працював у лауреатів Нобелівської премії професорів Е. Резерфорда і Н. Бора. У 28 років Г. Гамов за рекомендацією академіка В. Вернадського став наймолодшим членом-кореспондентом АН СРСР за усі роки її існування.</w:t>
      </w:r>
    </w:p>
    <w:p w:rsidR="001F5295" w:rsidRDefault="001F5295" w:rsidP="001F5295">
      <w:pPr>
        <w:ind w:firstLine="284"/>
        <w:jc w:val="both"/>
        <w:rPr>
          <w:rFonts w:ascii="Arial" w:hAnsi="Arial" w:cs="Arial"/>
          <w:bCs/>
          <w:lang w:val="ru-RU"/>
        </w:rPr>
      </w:pPr>
      <w:r w:rsidRPr="009A3E24">
        <w:rPr>
          <w:rFonts w:ascii="Arial" w:hAnsi="Arial" w:cs="Arial"/>
          <w:bCs/>
          <w:lang w:val="ru-RU"/>
        </w:rPr>
        <w:t>Упродовж усього життя Г. Гамов цікавився найбільш фундаментальними проблемами науки і зробив відкриття світового рівня, вписані золотими літерами у скарбницю досягнень людства. Він першим пояснив досліди Е. Резерфорда з альфа-частинками (тунельний ефект); отримав емпіричну формулу Гейгера – Неттолла, що зв’язує енергію альфа-частинок з періодом напіврозпаду радіоактивних ядер. Г. Гамов є одним із піонерів крапельної моделі ядра та застосування ядерної фізики до питань еволюції зірок. Він висунув фантастичну гіпотезу про ранній Всесвіт, вважаючи його не лише надто щільним, а й дуже гарячим. Також науковець побудував теорію Великого вибуху, з якої випливало існування реліктового випромінювання (космічного мікрохвильового фону) з температурою на 5–7 градусів вище температури абсолютного нуля, виявленої методом радіоастрономії. Серед його геніальних передбачень – триплетна модель генетичного коду, алфавіт життя з трибуквеними словами, підтверджена експериментально на основі рентгеноструктурних досліджень ДНК і системи емпірично встановлених правил Е. Чаргаффа. Ці відкриття сприяли не лише розвиткові світової науки, а й розв’язанню важливих практичних та економічних завдань.</w:t>
      </w:r>
    </w:p>
    <w:p w:rsidR="00A21AD9" w:rsidRPr="001F5295" w:rsidRDefault="00A21AD9">
      <w:pPr>
        <w:rPr>
          <w:lang w:val="ru-RU"/>
        </w:rPr>
      </w:pPr>
    </w:p>
    <w:sectPr w:rsidR="00A21AD9" w:rsidRPr="001F52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30"/>
    <w:rsid w:val="001F5295"/>
    <w:rsid w:val="00A21AD9"/>
    <w:rsid w:val="00A45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1BBAA-690C-469C-A4BF-DE5B2DC0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29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5197</Words>
  <Characters>29628</Characters>
  <Application>Microsoft Office Word</Application>
  <DocSecurity>0</DocSecurity>
  <Lines>246</Lines>
  <Paragraphs>69</Paragraphs>
  <ScaleCrop>false</ScaleCrop>
  <Company>SPecialiST RePack</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2020-05-27T10:36:00Z</dcterms:created>
  <dcterms:modified xsi:type="dcterms:W3CDTF">2020-05-27T10:37:00Z</dcterms:modified>
</cp:coreProperties>
</file>