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6A6" w:rsidRPr="009946A6" w:rsidRDefault="009946A6" w:rsidP="009946A6">
      <w:pPr>
        <w:ind w:firstLine="284"/>
        <w:jc w:val="both"/>
        <w:rPr>
          <w:rFonts w:ascii="Arial" w:hAnsi="Arial" w:cs="Arial"/>
          <w:bCs/>
          <w:i/>
        </w:rPr>
      </w:pPr>
      <w:r w:rsidRPr="00961ECE">
        <w:rPr>
          <w:rFonts w:ascii="Arial" w:hAnsi="Arial" w:cs="Arial"/>
          <w:b/>
          <w:bCs/>
          <w:i/>
        </w:rPr>
        <w:t xml:space="preserve">Економіка України = </w:t>
      </w:r>
      <w:r w:rsidRPr="009A3E24">
        <w:rPr>
          <w:rFonts w:ascii="Arial" w:hAnsi="Arial" w:cs="Arial"/>
          <w:b/>
          <w:bCs/>
          <w:i/>
          <w:lang w:val="ru-RU"/>
        </w:rPr>
        <w:t>Economy</w:t>
      </w:r>
      <w:r w:rsidRPr="00961ECE">
        <w:rPr>
          <w:rFonts w:ascii="Arial" w:hAnsi="Arial" w:cs="Arial"/>
          <w:b/>
          <w:bCs/>
          <w:i/>
        </w:rPr>
        <w:t xml:space="preserve"> </w:t>
      </w:r>
      <w:r w:rsidRPr="009A3E24">
        <w:rPr>
          <w:rFonts w:ascii="Arial" w:hAnsi="Arial" w:cs="Arial"/>
          <w:b/>
          <w:bCs/>
          <w:i/>
          <w:lang w:val="ru-RU"/>
        </w:rPr>
        <w:t>of</w:t>
      </w:r>
      <w:r w:rsidRPr="00961ECE">
        <w:rPr>
          <w:rFonts w:ascii="Arial" w:hAnsi="Arial" w:cs="Arial"/>
          <w:b/>
          <w:bCs/>
          <w:i/>
        </w:rPr>
        <w:t xml:space="preserve"> </w:t>
      </w:r>
      <w:r w:rsidRPr="009A3E24">
        <w:rPr>
          <w:rFonts w:ascii="Arial" w:hAnsi="Arial" w:cs="Arial"/>
          <w:b/>
          <w:bCs/>
          <w:i/>
          <w:lang w:val="ru-RU"/>
        </w:rPr>
        <w:t>Ukraine</w:t>
      </w:r>
      <w:r w:rsidRPr="00961ECE">
        <w:rPr>
          <w:rFonts w:ascii="Arial" w:hAnsi="Arial" w:cs="Arial"/>
          <w:b/>
          <w:bCs/>
          <w:i/>
        </w:rPr>
        <w:t xml:space="preserve"> : науковий журнал / М-во екон. розвитку і торгівлі України [та ін.] ; голов. ред. </w:t>
      </w:r>
      <w:r w:rsidRPr="009946A6">
        <w:rPr>
          <w:rFonts w:ascii="Arial" w:hAnsi="Arial" w:cs="Arial"/>
          <w:b/>
          <w:bCs/>
          <w:i/>
        </w:rPr>
        <w:t>В.</w:t>
      </w:r>
      <w:r w:rsidRPr="009A3E24">
        <w:rPr>
          <w:rFonts w:ascii="Arial" w:hAnsi="Arial" w:cs="Arial"/>
          <w:b/>
          <w:bCs/>
          <w:i/>
          <w:lang w:val="ru-RU"/>
        </w:rPr>
        <w:t> </w:t>
      </w:r>
      <w:r w:rsidRPr="009946A6">
        <w:rPr>
          <w:rFonts w:ascii="Arial" w:hAnsi="Arial" w:cs="Arial"/>
          <w:b/>
          <w:bCs/>
          <w:i/>
        </w:rPr>
        <w:t>М. Геєць. – Київ : [б. в.], 1958. – Виходить щомісяця</w:t>
      </w:r>
      <w:r w:rsidRPr="009946A6">
        <w:rPr>
          <w:rFonts w:ascii="Arial" w:hAnsi="Arial" w:cs="Arial"/>
          <w:bCs/>
          <w:i/>
        </w:rPr>
        <w:t xml:space="preserve">. </w:t>
      </w:r>
    </w:p>
    <w:p w:rsidR="009946A6" w:rsidRPr="009946A6" w:rsidRDefault="009946A6" w:rsidP="009946A6">
      <w:pPr>
        <w:ind w:firstLine="284"/>
        <w:jc w:val="both"/>
        <w:rPr>
          <w:rFonts w:ascii="Arial" w:hAnsi="Arial" w:cs="Arial"/>
          <w:bCs/>
        </w:rPr>
      </w:pPr>
    </w:p>
    <w:p w:rsidR="009946A6" w:rsidRPr="009946A6" w:rsidRDefault="009946A6" w:rsidP="009946A6">
      <w:pPr>
        <w:ind w:firstLine="284"/>
        <w:jc w:val="center"/>
        <w:rPr>
          <w:rFonts w:ascii="Arial" w:hAnsi="Arial" w:cs="Arial"/>
          <w:b/>
          <w:bCs/>
          <w:i/>
        </w:rPr>
      </w:pPr>
      <w:bookmarkStart w:id="0" w:name="_GoBack"/>
      <w:r w:rsidRPr="009946A6">
        <w:rPr>
          <w:rFonts w:ascii="Arial" w:hAnsi="Arial" w:cs="Arial"/>
          <w:b/>
          <w:bCs/>
          <w:i/>
        </w:rPr>
        <w:t>Економіка України. – 2020. – № 1.</w:t>
      </w:r>
    </w:p>
    <w:bookmarkEnd w:id="0"/>
    <w:p w:rsidR="009946A6" w:rsidRPr="009946A6" w:rsidRDefault="009946A6" w:rsidP="009946A6">
      <w:pPr>
        <w:ind w:firstLine="284"/>
        <w:jc w:val="both"/>
        <w:rPr>
          <w:rFonts w:ascii="Arial" w:hAnsi="Arial" w:cs="Arial"/>
          <w:b/>
          <w:bCs/>
        </w:rPr>
      </w:pPr>
    </w:p>
    <w:p w:rsidR="009946A6" w:rsidRDefault="009946A6" w:rsidP="009946A6">
      <w:pPr>
        <w:ind w:firstLine="284"/>
        <w:jc w:val="both"/>
        <w:rPr>
          <w:rFonts w:ascii="Arial" w:hAnsi="Arial" w:cs="Arial"/>
          <w:bCs/>
          <w:lang w:val="ru-RU"/>
        </w:rPr>
      </w:pPr>
      <w:r w:rsidRPr="00CE5053">
        <w:rPr>
          <w:rFonts w:ascii="Arial" w:hAnsi="Arial" w:cs="Arial"/>
          <w:b/>
          <w:bCs/>
          <w:lang w:val="ru-RU"/>
        </w:rPr>
        <w:t>Хвесик</w:t>
      </w:r>
      <w:r>
        <w:rPr>
          <w:rFonts w:ascii="Arial" w:hAnsi="Arial" w:cs="Arial"/>
          <w:b/>
          <w:bCs/>
          <w:lang w:val="ru-RU"/>
        </w:rPr>
        <w:t>,</w:t>
      </w:r>
      <w:r w:rsidRPr="00CE5053">
        <w:rPr>
          <w:rFonts w:ascii="Arial" w:hAnsi="Arial" w:cs="Arial"/>
          <w:b/>
          <w:bCs/>
          <w:lang w:val="ru-RU"/>
        </w:rPr>
        <w:t xml:space="preserve"> М. А.</w:t>
      </w:r>
      <w:r>
        <w:rPr>
          <w:rFonts w:ascii="Arial" w:hAnsi="Arial" w:cs="Arial"/>
          <w:bCs/>
          <w:lang w:val="ru-RU"/>
        </w:rPr>
        <w:t xml:space="preserve"> </w:t>
      </w:r>
      <w:r w:rsidRPr="00CE5053">
        <w:rPr>
          <w:rFonts w:ascii="Arial" w:hAnsi="Arial" w:cs="Arial"/>
          <w:b/>
          <w:bCs/>
          <w:lang w:val="ru-RU"/>
        </w:rPr>
        <w:t xml:space="preserve">Публічно-приватне партнерство в забезпеченні сталого просторового розвитку </w:t>
      </w:r>
      <w:r w:rsidRPr="00B72594">
        <w:rPr>
          <w:rFonts w:ascii="Arial" w:hAnsi="Arial" w:cs="Arial"/>
          <w:bCs/>
          <w:lang w:val="ru-RU"/>
        </w:rPr>
        <w:t>/</w:t>
      </w:r>
      <w:r w:rsidRPr="00CE5053">
        <w:rPr>
          <w:rFonts w:ascii="Arial" w:hAnsi="Arial" w:cs="Arial"/>
          <w:bCs/>
          <w:lang w:val="ru-RU"/>
        </w:rPr>
        <w:t xml:space="preserve"> М. А.</w:t>
      </w:r>
      <w:r w:rsidRPr="00B72594">
        <w:rPr>
          <w:rFonts w:ascii="Arial" w:hAnsi="Arial" w:cs="Arial"/>
          <w:bCs/>
          <w:lang w:val="ru-RU"/>
        </w:rPr>
        <w:t xml:space="preserve"> </w:t>
      </w:r>
      <w:r w:rsidRPr="00CE5053">
        <w:rPr>
          <w:rFonts w:ascii="Arial" w:hAnsi="Arial" w:cs="Arial"/>
          <w:bCs/>
          <w:lang w:val="ru-RU"/>
        </w:rPr>
        <w:t xml:space="preserve">Хвесик, І. К. Бистряков, </w:t>
      </w:r>
      <w:r>
        <w:rPr>
          <w:rFonts w:ascii="Arial" w:hAnsi="Arial" w:cs="Arial"/>
          <w:bCs/>
          <w:lang w:val="ru-RU"/>
        </w:rPr>
        <w:t>Д. </w:t>
      </w:r>
      <w:r w:rsidRPr="00CE5053">
        <w:rPr>
          <w:rFonts w:ascii="Arial" w:hAnsi="Arial" w:cs="Arial"/>
          <w:bCs/>
          <w:lang w:val="ru-RU"/>
        </w:rPr>
        <w:t>В.</w:t>
      </w:r>
      <w:r>
        <w:rPr>
          <w:rFonts w:ascii="Arial" w:hAnsi="Arial" w:cs="Arial"/>
          <w:bCs/>
          <w:lang w:val="ru-RU"/>
        </w:rPr>
        <w:t xml:space="preserve"> </w:t>
      </w:r>
      <w:r w:rsidRPr="00CE5053">
        <w:rPr>
          <w:rFonts w:ascii="Arial" w:hAnsi="Arial" w:cs="Arial"/>
          <w:bCs/>
          <w:lang w:val="ru-RU"/>
        </w:rPr>
        <w:t xml:space="preserve">Клиновий </w:t>
      </w:r>
      <w:r w:rsidRPr="009B3475">
        <w:rPr>
          <w:rFonts w:ascii="Arial" w:hAnsi="Arial" w:cs="Arial"/>
          <w:bCs/>
          <w:lang w:val="ru-RU"/>
        </w:rPr>
        <w:t xml:space="preserve">// Економіка України. </w:t>
      </w:r>
      <w:r w:rsidRPr="00CE5053">
        <w:rPr>
          <w:rFonts w:ascii="Arial" w:hAnsi="Arial" w:cs="Arial"/>
          <w:bCs/>
          <w:i/>
          <w:lang w:val="ru-RU"/>
        </w:rPr>
        <w:t>–</w:t>
      </w:r>
      <w:r w:rsidRPr="00CE5053">
        <w:rPr>
          <w:rFonts w:ascii="Arial" w:hAnsi="Arial" w:cs="Arial"/>
          <w:bCs/>
          <w:lang w:val="ru-RU"/>
        </w:rPr>
        <w:t xml:space="preserve"> 2020. </w:t>
      </w:r>
      <w:r w:rsidRPr="00CE5053">
        <w:rPr>
          <w:rFonts w:ascii="Arial" w:hAnsi="Arial" w:cs="Arial"/>
          <w:bCs/>
          <w:i/>
          <w:lang w:val="ru-RU"/>
        </w:rPr>
        <w:t>–</w:t>
      </w:r>
      <w:r w:rsidRPr="00CE5053">
        <w:rPr>
          <w:rFonts w:ascii="Arial" w:hAnsi="Arial" w:cs="Arial"/>
          <w:bCs/>
          <w:lang w:val="ru-RU"/>
        </w:rPr>
        <w:t xml:space="preserve"> № 1. </w:t>
      </w:r>
      <w:r w:rsidRPr="00CE5053">
        <w:rPr>
          <w:rFonts w:ascii="Arial" w:hAnsi="Arial" w:cs="Arial"/>
          <w:bCs/>
          <w:i/>
          <w:lang w:val="ru-RU"/>
        </w:rPr>
        <w:t>–</w:t>
      </w:r>
      <w:r w:rsidRPr="00CE5053">
        <w:rPr>
          <w:rFonts w:ascii="Arial" w:hAnsi="Arial" w:cs="Arial"/>
          <w:bCs/>
          <w:lang w:val="ru-RU"/>
        </w:rPr>
        <w:t xml:space="preserve"> С.</w:t>
      </w:r>
      <w:r w:rsidRPr="00CE5053">
        <w:t xml:space="preserve"> </w:t>
      </w:r>
      <w:r w:rsidRPr="00CE5053">
        <w:rPr>
          <w:rFonts w:ascii="Arial" w:hAnsi="Arial" w:cs="Arial"/>
          <w:bCs/>
          <w:lang w:val="ru-RU"/>
        </w:rPr>
        <w:t>3-23.</w:t>
      </w:r>
      <w:r w:rsidRPr="00B72594">
        <w:rPr>
          <w:rFonts w:ascii="Arial" w:hAnsi="Arial" w:cs="Arial"/>
          <w:bCs/>
          <w:lang w:val="ru-RU"/>
        </w:rPr>
        <w:t xml:space="preserve"> </w:t>
      </w:r>
    </w:p>
    <w:p w:rsidR="009946A6" w:rsidRPr="00CE5053" w:rsidRDefault="009946A6" w:rsidP="009946A6">
      <w:pPr>
        <w:ind w:firstLine="284"/>
        <w:jc w:val="both"/>
        <w:rPr>
          <w:rFonts w:ascii="Arial" w:hAnsi="Arial" w:cs="Arial"/>
          <w:bCs/>
          <w:lang w:val="ru-RU"/>
        </w:rPr>
      </w:pPr>
      <w:r w:rsidRPr="00CE5053">
        <w:rPr>
          <w:rFonts w:ascii="Arial" w:hAnsi="Arial" w:cs="Arial"/>
          <w:bCs/>
          <w:lang w:val="ru-RU"/>
        </w:rPr>
        <w:t>Сьогодні головним завданням для України в частині забезпечення сталого розвитку є оновлення базових ідей та концептів досягнення його результатів відповідно до появи інноваційних методів організації управління і врядування, орієнтованих на залучення до вирішення завдань сталого розвитку якнайширшого кола учасників, насамперед органів місцевої влади, громадськості та бізнес-структур з використанням цифрових платформ.</w:t>
      </w:r>
    </w:p>
    <w:p w:rsidR="009946A6" w:rsidRPr="00CE5053" w:rsidRDefault="009946A6" w:rsidP="009946A6">
      <w:pPr>
        <w:ind w:firstLine="284"/>
        <w:jc w:val="both"/>
        <w:rPr>
          <w:rFonts w:ascii="Arial" w:hAnsi="Arial" w:cs="Arial"/>
          <w:bCs/>
          <w:lang w:val="ru-RU"/>
        </w:rPr>
      </w:pPr>
      <w:r w:rsidRPr="00CE5053">
        <w:rPr>
          <w:rFonts w:ascii="Arial" w:hAnsi="Arial" w:cs="Arial"/>
          <w:bCs/>
          <w:lang w:val="ru-RU"/>
        </w:rPr>
        <w:t xml:space="preserve">Отже, метою статті є розв’язання проблемних питань ефективної імплементації принципів і механізмів публічно-приватних відносин </w:t>
      </w:r>
      <w:proofErr w:type="gramStart"/>
      <w:r w:rsidRPr="00CE5053">
        <w:rPr>
          <w:rFonts w:ascii="Arial" w:hAnsi="Arial" w:cs="Arial"/>
          <w:bCs/>
          <w:lang w:val="ru-RU"/>
        </w:rPr>
        <w:t>у сферу</w:t>
      </w:r>
      <w:proofErr w:type="gramEnd"/>
      <w:r w:rsidRPr="00CE5053">
        <w:rPr>
          <w:rFonts w:ascii="Arial" w:hAnsi="Arial" w:cs="Arial"/>
          <w:bCs/>
          <w:lang w:val="ru-RU"/>
        </w:rPr>
        <w:t xml:space="preserve"> використання природних ресурсів та створення на цій основі системи управління сталим просторовим розвитком країни та її територій євроінтеграційного типу.</w:t>
      </w:r>
    </w:p>
    <w:p w:rsidR="009946A6" w:rsidRPr="00CE5053" w:rsidRDefault="009946A6" w:rsidP="009946A6">
      <w:pPr>
        <w:ind w:firstLine="284"/>
        <w:jc w:val="both"/>
        <w:rPr>
          <w:rFonts w:ascii="Arial" w:hAnsi="Arial" w:cs="Arial"/>
          <w:bCs/>
          <w:lang w:val="ru-RU"/>
        </w:rPr>
      </w:pPr>
      <w:r w:rsidRPr="00CE5053">
        <w:rPr>
          <w:rFonts w:ascii="Arial" w:hAnsi="Arial" w:cs="Arial"/>
          <w:bCs/>
          <w:lang w:val="ru-RU"/>
        </w:rPr>
        <w:t>Господарський досвід держав –</w:t>
      </w:r>
      <w:r>
        <w:rPr>
          <w:rFonts w:ascii="Arial" w:hAnsi="Arial" w:cs="Arial"/>
          <w:bCs/>
          <w:lang w:val="ru-RU"/>
        </w:rPr>
        <w:t xml:space="preserve"> </w:t>
      </w:r>
      <w:r w:rsidRPr="00CE5053">
        <w:rPr>
          <w:rFonts w:ascii="Arial" w:hAnsi="Arial" w:cs="Arial"/>
          <w:bCs/>
          <w:lang w:val="ru-RU"/>
        </w:rPr>
        <w:t>членів ЄС свідчить про необхідність застосування інноваційних механізмів природно-ресурсного менеджменту, які б орієнтували на управління природними ресурсами місцевих громад з використанням новітніх інструментів, включаючи сучасні цифрові технології та електронне врядування в рамках імплементації більш загальних принципів так званої платформної, зеленої, синьої та наноекономіки, належного врядування, публічно-приватного партнерства тощо.</w:t>
      </w:r>
    </w:p>
    <w:p w:rsidR="009946A6" w:rsidRPr="00CE5053" w:rsidRDefault="009946A6" w:rsidP="009946A6">
      <w:pPr>
        <w:ind w:firstLine="284"/>
        <w:jc w:val="both"/>
        <w:rPr>
          <w:rFonts w:ascii="Arial" w:hAnsi="Arial" w:cs="Arial"/>
          <w:bCs/>
          <w:lang w:val="ru-RU"/>
        </w:rPr>
      </w:pPr>
      <w:r w:rsidRPr="00CE5053">
        <w:rPr>
          <w:rFonts w:ascii="Arial" w:hAnsi="Arial" w:cs="Arial"/>
          <w:bCs/>
          <w:lang w:val="ru-RU"/>
        </w:rPr>
        <w:t>Нині публічно-приватне партнерство є ключовою ланкою забезпечення сталого просторового розвитку європейського типу, що відповідає тренду цифровізації та розвитку системи електронного врядування в рамках досягнення національних Ц</w:t>
      </w:r>
      <w:r>
        <w:rPr>
          <w:rFonts w:ascii="Arial" w:hAnsi="Arial" w:cs="Arial"/>
          <w:bCs/>
          <w:lang w:val="ru-RU"/>
        </w:rPr>
        <w:t>ілей сталого розвитку України –</w:t>
      </w:r>
      <w:r w:rsidRPr="00CE5053">
        <w:rPr>
          <w:rFonts w:ascii="Arial" w:hAnsi="Arial" w:cs="Arial"/>
          <w:bCs/>
          <w:lang w:val="ru-RU"/>
        </w:rPr>
        <w:t xml:space="preserve"> 2030, у тому числі залучення природних ресурсів у господарський оборот і впровадження відповідних управлінських інновацій.</w:t>
      </w:r>
    </w:p>
    <w:p w:rsidR="009946A6" w:rsidRPr="00CE5053" w:rsidRDefault="009946A6" w:rsidP="009946A6">
      <w:pPr>
        <w:ind w:firstLine="284"/>
        <w:jc w:val="both"/>
        <w:rPr>
          <w:rFonts w:ascii="Arial" w:hAnsi="Arial" w:cs="Arial"/>
          <w:bCs/>
          <w:lang w:val="ru-RU"/>
        </w:rPr>
      </w:pPr>
      <w:r w:rsidRPr="00CE5053">
        <w:rPr>
          <w:rFonts w:ascii="Arial" w:hAnsi="Arial" w:cs="Arial"/>
          <w:bCs/>
          <w:lang w:val="ru-RU"/>
        </w:rPr>
        <w:t xml:space="preserve">Імплементація інноваційних форм публічно-приватного партнерства </w:t>
      </w:r>
      <w:proofErr w:type="gramStart"/>
      <w:r w:rsidRPr="00CE5053">
        <w:rPr>
          <w:rFonts w:ascii="Arial" w:hAnsi="Arial" w:cs="Arial"/>
          <w:bCs/>
          <w:lang w:val="ru-RU"/>
        </w:rPr>
        <w:t>у систему</w:t>
      </w:r>
      <w:proofErr w:type="gramEnd"/>
      <w:r w:rsidRPr="00CE5053">
        <w:rPr>
          <w:rFonts w:ascii="Arial" w:hAnsi="Arial" w:cs="Arial"/>
          <w:bCs/>
          <w:lang w:val="ru-RU"/>
        </w:rPr>
        <w:t xml:space="preserve"> управління сталим просторовим розвитком держави повинна відбуватися за трьома основними ет</w:t>
      </w:r>
      <w:r>
        <w:rPr>
          <w:rFonts w:ascii="Arial" w:hAnsi="Arial" w:cs="Arial"/>
          <w:bCs/>
          <w:lang w:val="ru-RU"/>
        </w:rPr>
        <w:t>апами структурних перетворень –</w:t>
      </w:r>
      <w:r w:rsidRPr="00CE5053">
        <w:rPr>
          <w:rFonts w:ascii="Arial" w:hAnsi="Arial" w:cs="Arial"/>
          <w:bCs/>
          <w:lang w:val="ru-RU"/>
        </w:rPr>
        <w:t xml:space="preserve"> деконцентрації, деволюції т</w:t>
      </w:r>
      <w:r>
        <w:rPr>
          <w:rFonts w:ascii="Arial" w:hAnsi="Arial" w:cs="Arial"/>
          <w:bCs/>
          <w:lang w:val="ru-RU"/>
        </w:rPr>
        <w:t>а дивестиції –</w:t>
      </w:r>
      <w:r w:rsidRPr="00CE5053">
        <w:rPr>
          <w:rFonts w:ascii="Arial" w:hAnsi="Arial" w:cs="Arial"/>
          <w:bCs/>
          <w:lang w:val="ru-RU"/>
        </w:rPr>
        <w:t xml:space="preserve"> і включати створення платформ управління відповідними взаємовідносинами у бізнес-екосистемах територій.</w:t>
      </w:r>
    </w:p>
    <w:p w:rsidR="009946A6" w:rsidRDefault="009946A6" w:rsidP="009946A6">
      <w:pPr>
        <w:ind w:firstLine="284"/>
        <w:jc w:val="both"/>
        <w:rPr>
          <w:rFonts w:ascii="Arial" w:hAnsi="Arial" w:cs="Arial"/>
          <w:bCs/>
          <w:lang w:val="ru-RU"/>
        </w:rPr>
      </w:pPr>
      <w:r w:rsidRPr="00CE5053">
        <w:rPr>
          <w:rFonts w:ascii="Arial" w:hAnsi="Arial" w:cs="Arial"/>
          <w:bCs/>
          <w:lang w:val="ru-RU"/>
        </w:rPr>
        <w:t>У результаті державна форма управління природокористуванням має трансформуватись у децентралізовану публічно-приватну, що ґрунтується на ефективних європейських форматах співпраці влади й бізнесу як його контрактних різновидів, а також через створення спільних державно-приватних корпорацій у середовищі платформної економіки.</w:t>
      </w:r>
    </w:p>
    <w:p w:rsidR="009946A6" w:rsidRDefault="009946A6" w:rsidP="009946A6">
      <w:pPr>
        <w:ind w:firstLine="284"/>
        <w:jc w:val="both"/>
        <w:rPr>
          <w:rFonts w:ascii="Arial" w:hAnsi="Arial" w:cs="Arial"/>
          <w:bCs/>
          <w:lang w:val="ru-RU"/>
        </w:rPr>
      </w:pPr>
    </w:p>
    <w:p w:rsidR="009946A6" w:rsidRPr="00CE5053" w:rsidRDefault="009946A6" w:rsidP="009946A6">
      <w:pPr>
        <w:ind w:firstLine="284"/>
        <w:jc w:val="both"/>
        <w:rPr>
          <w:rFonts w:ascii="Arial" w:hAnsi="Arial" w:cs="Arial"/>
          <w:bCs/>
          <w:lang w:val="ru-RU"/>
        </w:rPr>
      </w:pPr>
      <w:r w:rsidRPr="00CE5053">
        <w:rPr>
          <w:rFonts w:ascii="Arial" w:hAnsi="Arial" w:cs="Arial"/>
          <w:b/>
          <w:bCs/>
          <w:lang w:val="ru-RU"/>
        </w:rPr>
        <w:t>Швиданенко, О. А. Формування економіки знань у регіонах України</w:t>
      </w:r>
      <w:r>
        <w:rPr>
          <w:rFonts w:ascii="Arial" w:hAnsi="Arial" w:cs="Arial"/>
          <w:bCs/>
          <w:lang w:val="ru-RU"/>
        </w:rPr>
        <w:t xml:space="preserve"> </w:t>
      </w:r>
      <w:r w:rsidRPr="00CE5053">
        <w:rPr>
          <w:rFonts w:ascii="Arial" w:hAnsi="Arial" w:cs="Arial"/>
          <w:bCs/>
          <w:lang w:val="ru-RU"/>
        </w:rPr>
        <w:t>/</w:t>
      </w:r>
      <w:r w:rsidRPr="00CE5053">
        <w:t xml:space="preserve"> </w:t>
      </w:r>
      <w:r w:rsidRPr="00CE5053">
        <w:rPr>
          <w:rFonts w:ascii="Arial" w:hAnsi="Arial" w:cs="Arial"/>
          <w:bCs/>
          <w:lang w:val="ru-RU"/>
        </w:rPr>
        <w:t>О. А. Швиданенко, Т. Г. Бусарєва // Економіка України. – 2020. – № 1. – С. 24-35.</w:t>
      </w:r>
    </w:p>
    <w:p w:rsidR="009946A6" w:rsidRDefault="009946A6" w:rsidP="009946A6">
      <w:pPr>
        <w:ind w:firstLine="284"/>
        <w:jc w:val="both"/>
        <w:rPr>
          <w:rFonts w:ascii="Arial" w:hAnsi="Arial" w:cs="Arial"/>
          <w:bCs/>
        </w:rPr>
      </w:pPr>
      <w:r w:rsidRPr="00CE5053">
        <w:rPr>
          <w:rFonts w:ascii="Arial" w:hAnsi="Arial" w:cs="Arial"/>
          <w:bCs/>
        </w:rPr>
        <w:t>Сучасні проблеми економічного розвитку регіонів України пов'язані з формуванням нової парадигми науково-технічного розвитку. Складовими нової економіки виступають інновації, зростання соціальної спрямованості створюваних технологій, загальний характер доступності та використання знань, технологій, інноваційних продуктів і послуг. Отже, довгострокова конкурентоспроможність регіональної економіки забезпечується переходом до «економіки знань», пріоритетами якої є розвиток та поширення інформаційних технологій, а також розробка і широке впровадження інновацій та інвестицій у формування людського капіталу. Побудова економіки, заснованої на знаннях, визначається в основному шляхом підвищення конкурентоспроможності як окремих регіонів, так і країн, забезпечення нової якості життя населення. Здатність регіону виробляти знання, зокрема наукові, втілювати і ефективно використовувати їх для досягнення ефективного соціально-економічного розвитку нині стає визначальним фактором, що забезпечує позитивну динаміку економічного розвитку регіонів поряд з такими традиційними джерелами, як інвестиції та людська праця. І Україна не виняток, оскільки з точки зору аналізу передумов формування економіки знань в Україні можна стверджувати, що Радянський Союз, разом з США, Німеччиною та Японією, був країною-лідером у становленні третього технологічного укладу. Проте в сучасних реаліях перехід регіонів України до економіки і суспільства знань є занадто проблематичним. Щоб його здійснити, треба сформувати головні умови, а саме: соціально орієнтовану економіку, високі стандарти добробуту населення, високу якість людського і соціального капіталів. Для вирішення такого роду проблем Європейською комісією було розроблено набір показників оцінювання інноваційності регіонів, який можна адаптувати для оцінювання економіки знань у регіонах України.</w:t>
      </w:r>
    </w:p>
    <w:p w:rsidR="009946A6" w:rsidRPr="006C65D2" w:rsidRDefault="009946A6" w:rsidP="009946A6">
      <w:pPr>
        <w:ind w:firstLine="284"/>
        <w:jc w:val="both"/>
        <w:rPr>
          <w:rFonts w:ascii="Arial" w:hAnsi="Arial" w:cs="Arial"/>
          <w:b/>
          <w:bCs/>
        </w:rPr>
      </w:pPr>
    </w:p>
    <w:p w:rsidR="009946A6" w:rsidRDefault="009946A6" w:rsidP="009946A6">
      <w:pPr>
        <w:ind w:firstLine="284"/>
        <w:jc w:val="both"/>
        <w:rPr>
          <w:rFonts w:ascii="Arial" w:hAnsi="Arial" w:cs="Arial"/>
          <w:bCs/>
        </w:rPr>
      </w:pPr>
      <w:r w:rsidRPr="006C65D2">
        <w:rPr>
          <w:rFonts w:ascii="Arial" w:hAnsi="Arial" w:cs="Arial"/>
          <w:b/>
          <w:bCs/>
        </w:rPr>
        <w:t>Литовченко</w:t>
      </w:r>
      <w:r w:rsidRPr="006C65D2">
        <w:rPr>
          <w:rFonts w:ascii="Arial" w:hAnsi="Arial" w:cs="Arial"/>
          <w:b/>
          <w:bCs/>
          <w:lang w:val="ru-RU"/>
        </w:rPr>
        <w:t>,</w:t>
      </w:r>
      <w:r w:rsidRPr="006C65D2">
        <w:rPr>
          <w:rFonts w:ascii="Arial" w:hAnsi="Arial" w:cs="Arial"/>
          <w:b/>
          <w:bCs/>
        </w:rPr>
        <w:t xml:space="preserve"> І</w:t>
      </w:r>
      <w:r w:rsidRPr="006C65D2">
        <w:rPr>
          <w:rFonts w:ascii="Arial" w:hAnsi="Arial" w:cs="Arial"/>
          <w:b/>
          <w:bCs/>
          <w:lang w:val="ru-RU"/>
        </w:rPr>
        <w:t>.</w:t>
      </w:r>
      <w:r w:rsidRPr="006C65D2">
        <w:rPr>
          <w:rFonts w:ascii="Arial" w:hAnsi="Arial" w:cs="Arial"/>
          <w:b/>
          <w:bCs/>
        </w:rPr>
        <w:t xml:space="preserve"> Л</w:t>
      </w:r>
      <w:r w:rsidRPr="006C65D2">
        <w:rPr>
          <w:rFonts w:ascii="Arial" w:hAnsi="Arial" w:cs="Arial"/>
          <w:b/>
          <w:bCs/>
          <w:lang w:val="ru-RU"/>
        </w:rPr>
        <w:t xml:space="preserve">. </w:t>
      </w:r>
      <w:r w:rsidRPr="006C65D2">
        <w:rPr>
          <w:rFonts w:ascii="Arial" w:hAnsi="Arial" w:cs="Arial"/>
          <w:b/>
          <w:bCs/>
        </w:rPr>
        <w:t>Трансформація ринку в сучасних умовах переходу до цифрової економіки</w:t>
      </w:r>
      <w:r w:rsidRPr="006C65D2">
        <w:rPr>
          <w:rFonts w:ascii="Arial" w:hAnsi="Arial" w:cs="Arial"/>
          <w:bCs/>
        </w:rPr>
        <w:t xml:space="preserve"> / І. Л. Литовченко // Економіка України. – 2020. – № 1. – С. 36-47.</w:t>
      </w:r>
    </w:p>
    <w:p w:rsidR="009946A6" w:rsidRPr="006C65D2" w:rsidRDefault="009946A6" w:rsidP="009946A6">
      <w:pPr>
        <w:ind w:firstLine="284"/>
        <w:jc w:val="both"/>
        <w:rPr>
          <w:rFonts w:ascii="Arial" w:hAnsi="Arial" w:cs="Arial"/>
          <w:bCs/>
        </w:rPr>
      </w:pPr>
      <w:r w:rsidRPr="006C65D2">
        <w:rPr>
          <w:rFonts w:ascii="Arial" w:hAnsi="Arial" w:cs="Arial"/>
          <w:bCs/>
        </w:rPr>
        <w:lastRenderedPageBreak/>
        <w:t>Розвиток сучасної ринкової економіки динамічно рухається в бік цифровізації. Отже, для ефективного функціонування на ринку потрібно усвідомлювати напрями трансформацій і змін, які відбуваються. Досліджено основні тенденції розвитку ринку в умовах формування цифрової економіки. З’ясовано, що ринок набуває дуальної реально-віртуальної форми, визначено його основні характеристики як економічної системи, що сама організовується. Запропоновано авторську версію періодизації трансформації ринку з урахуванням історичного контексту, який є важливою передумовою впливу на процес істотних змін. Статистично обґрунтовано подальші поширення та проникнення дуальності як у світі, так і на регіональних ринках. Виявлено необхідність реіндустріалізації на цифровій основі, яка є незворотною, має системний характер і забезпечує якісне оновлення промисловості на базі високих технологій.</w:t>
      </w:r>
    </w:p>
    <w:p w:rsidR="009946A6" w:rsidRPr="006C65D2" w:rsidRDefault="009946A6" w:rsidP="009946A6">
      <w:pPr>
        <w:ind w:firstLine="284"/>
        <w:jc w:val="both"/>
        <w:rPr>
          <w:rFonts w:ascii="Arial" w:hAnsi="Arial" w:cs="Arial"/>
          <w:bCs/>
        </w:rPr>
      </w:pPr>
      <w:r w:rsidRPr="006C65D2">
        <w:rPr>
          <w:rFonts w:ascii="Arial" w:hAnsi="Arial" w:cs="Arial"/>
          <w:bCs/>
        </w:rPr>
        <w:t>Визначено нових учасників і нові ніші реально-віртуального ринку: В2С, В2В, В2G, G2B Р2Р та ін., а в майбутнього і M2M. Виявлено тенденцію виникнення дедалі більшої багатошаровості сучасного ринку і рух до цифровізації та персоніфікації у виробництві й пропозиції. У зв’язку з появою нових можливостей у споживанні формуються інші моделі поведінки споживачів, у тому числі й на перспективу; як наслідок, ринок стрімко йде до встановлення «ери споживача».</w:t>
      </w:r>
    </w:p>
    <w:p w:rsidR="009946A6" w:rsidRDefault="009946A6" w:rsidP="009946A6">
      <w:pPr>
        <w:ind w:firstLine="284"/>
        <w:jc w:val="both"/>
        <w:rPr>
          <w:rFonts w:ascii="Arial" w:hAnsi="Arial" w:cs="Arial"/>
          <w:bCs/>
        </w:rPr>
      </w:pPr>
      <w:r w:rsidRPr="006C65D2">
        <w:rPr>
          <w:rFonts w:ascii="Arial" w:hAnsi="Arial" w:cs="Arial"/>
          <w:bCs/>
        </w:rPr>
        <w:t>Розглянуті зміни посилюють конкурентну боротьбу. Для збереження конкурентоспроможності необхідно впроваджувати нові бізнес-моделі, які враховуватимуть дуальність сучасного ринку і використовуватимуть його нові можливості, інструменти та багатоканальність. Констатовано, що сучасні зміни вимагають наукового осмислення і трансформації класичних методологічних та методичних підходів у теорії маркетингу як філософії ведення бізнесу і в розробці практичних рекомендацій щодо їх використання.</w:t>
      </w:r>
    </w:p>
    <w:p w:rsidR="009946A6" w:rsidRDefault="009946A6" w:rsidP="009946A6">
      <w:pPr>
        <w:ind w:firstLine="284"/>
        <w:jc w:val="both"/>
        <w:rPr>
          <w:rFonts w:ascii="Arial" w:hAnsi="Arial" w:cs="Arial"/>
          <w:bCs/>
        </w:rPr>
      </w:pPr>
    </w:p>
    <w:p w:rsidR="009946A6" w:rsidRDefault="009946A6" w:rsidP="009946A6">
      <w:pPr>
        <w:ind w:firstLine="284"/>
        <w:jc w:val="both"/>
        <w:rPr>
          <w:rFonts w:ascii="Arial" w:hAnsi="Arial" w:cs="Arial"/>
          <w:bCs/>
        </w:rPr>
      </w:pPr>
      <w:r w:rsidRPr="006C65D2">
        <w:rPr>
          <w:rFonts w:ascii="Arial" w:hAnsi="Arial" w:cs="Arial"/>
          <w:b/>
          <w:bCs/>
        </w:rPr>
        <w:t>Волохова, І</w:t>
      </w:r>
      <w:r w:rsidRPr="006C65D2">
        <w:rPr>
          <w:rFonts w:ascii="Arial" w:hAnsi="Arial" w:cs="Arial"/>
          <w:b/>
          <w:bCs/>
          <w:lang w:val="ru-RU"/>
        </w:rPr>
        <w:t xml:space="preserve">. </w:t>
      </w:r>
      <w:r w:rsidRPr="006C65D2">
        <w:rPr>
          <w:rFonts w:ascii="Arial" w:hAnsi="Arial" w:cs="Arial"/>
          <w:b/>
          <w:bCs/>
        </w:rPr>
        <w:t>С</w:t>
      </w:r>
      <w:r w:rsidRPr="006C65D2">
        <w:rPr>
          <w:rFonts w:ascii="Arial" w:hAnsi="Arial" w:cs="Arial"/>
          <w:b/>
          <w:bCs/>
          <w:lang w:val="ru-RU"/>
        </w:rPr>
        <w:t xml:space="preserve">. </w:t>
      </w:r>
      <w:r w:rsidRPr="006C65D2">
        <w:rPr>
          <w:rFonts w:ascii="Arial" w:hAnsi="Arial" w:cs="Arial"/>
          <w:b/>
          <w:bCs/>
        </w:rPr>
        <w:t>Вектори поглиблення фінансової децентралізації в Україні</w:t>
      </w:r>
      <w:r w:rsidRPr="006C65D2">
        <w:rPr>
          <w:rFonts w:ascii="Arial" w:hAnsi="Arial" w:cs="Arial"/>
          <w:bCs/>
        </w:rPr>
        <w:t xml:space="preserve"> / І. С. Волохова // Економіка України. – 2020. – № 1. – С. 48-55.</w:t>
      </w:r>
    </w:p>
    <w:p w:rsidR="009946A6" w:rsidRPr="006C65D2" w:rsidRDefault="009946A6" w:rsidP="009946A6">
      <w:pPr>
        <w:ind w:firstLine="284"/>
        <w:jc w:val="both"/>
        <w:rPr>
          <w:rFonts w:ascii="Arial" w:hAnsi="Arial" w:cs="Arial"/>
          <w:bCs/>
          <w:lang w:val="ru-RU"/>
        </w:rPr>
      </w:pPr>
      <w:r w:rsidRPr="006C65D2">
        <w:rPr>
          <w:rFonts w:ascii="Arial" w:hAnsi="Arial" w:cs="Arial"/>
          <w:bCs/>
        </w:rPr>
        <w:t xml:space="preserve">Досягнення економічної ефективності виробництва та надання суспільних благ вимагають проведення фінансової децентралізації, яка у свою чергу, дозволяє збільшити ступінь задоволення потреб населення суспільними благами, на що, безперечно, впливають регіональні та місцеві особливості. </w:t>
      </w:r>
      <w:r w:rsidRPr="006C65D2">
        <w:rPr>
          <w:rFonts w:ascii="Arial" w:hAnsi="Arial" w:cs="Arial"/>
          <w:bCs/>
          <w:lang w:val="ru-RU"/>
        </w:rPr>
        <w:t>Фінансова децентралізація передбачає створення відповідної фінансової основи для регіонального і місцевого самоврядування. Проте тільки перелік фінансових ресурсів, що її формують, не доводить існування регіонального та місцевого самоврядування. Необхідно дослідити структуру фінансових ресурсів, останні тенденції її зміни, розкрити проблеми у фінансовому забезпеченні органів місцевого самоврядування, а також визначити основні вектори поглиблення фінансової децентралізації в Україні.</w:t>
      </w:r>
    </w:p>
    <w:p w:rsidR="009946A6" w:rsidRPr="006C65D2" w:rsidRDefault="009946A6" w:rsidP="009946A6">
      <w:pPr>
        <w:ind w:firstLine="284"/>
        <w:jc w:val="both"/>
        <w:rPr>
          <w:rFonts w:ascii="Arial" w:hAnsi="Arial" w:cs="Arial"/>
          <w:bCs/>
          <w:lang w:val="ru-RU"/>
        </w:rPr>
      </w:pPr>
      <w:r w:rsidRPr="006C65D2">
        <w:rPr>
          <w:rFonts w:ascii="Arial" w:hAnsi="Arial" w:cs="Arial"/>
          <w:bCs/>
          <w:lang w:val="ru-RU"/>
        </w:rPr>
        <w:t xml:space="preserve">Власна дохідна база місцевих бюджетів істотно зросла з 2015 р., проте перелік місцевих податків та зборів був розширений без відповідного збільшення податкових повноважень органів місцевого самоврядування. </w:t>
      </w:r>
      <w:proofErr w:type="gramStart"/>
      <w:r w:rsidRPr="006C65D2">
        <w:rPr>
          <w:rFonts w:ascii="Arial" w:hAnsi="Arial" w:cs="Arial"/>
          <w:bCs/>
          <w:lang w:val="ru-RU"/>
        </w:rPr>
        <w:t>У доходах</w:t>
      </w:r>
      <w:proofErr w:type="gramEnd"/>
      <w:r w:rsidRPr="006C65D2">
        <w:rPr>
          <w:rFonts w:ascii="Arial" w:hAnsi="Arial" w:cs="Arial"/>
          <w:bCs/>
          <w:lang w:val="ru-RU"/>
        </w:rPr>
        <w:t xml:space="preserve"> місцевих бюджетів поступово зменшився обсяг загальнодержавних податків та зборів, які було компенсовано збільшенням питомої ваги міжбюджетних трансфертів, зокрема субвенцій. Це гальмує процеси фінансової децентралізації.</w:t>
      </w:r>
    </w:p>
    <w:p w:rsidR="009946A6" w:rsidRDefault="009946A6" w:rsidP="009946A6">
      <w:pPr>
        <w:ind w:firstLine="284"/>
        <w:jc w:val="both"/>
        <w:rPr>
          <w:rFonts w:ascii="Arial" w:hAnsi="Arial" w:cs="Arial"/>
          <w:bCs/>
          <w:lang w:val="ru-RU"/>
        </w:rPr>
      </w:pPr>
      <w:r w:rsidRPr="006C65D2">
        <w:rPr>
          <w:rFonts w:ascii="Arial" w:hAnsi="Arial" w:cs="Arial"/>
          <w:bCs/>
          <w:lang w:val="ru-RU"/>
        </w:rPr>
        <w:t>Поглиблення фінансової децентралізації можє відбуватися, коли вектором зміцнення фінансової бази місцевого самоврядування буде вирішення таких основних завдань: забезпечення органів місцевого самоврядування закріпленими доходами та міжбюджетними трансфертами в обсягу, необхідному для фінансування виконання делегованих повноважень; розширення переліку та збільшення частки місцевих податків та зборів, що відповідають теоретичним вимогам щодо доцільності їх надання в розпорядження місцевих органів влади; зменшення питомої ваги міжбюджетних трансфертів у доходах місцевих бюджетів;удосконалення механізму надання місцевим бюджетам міжбюджетних трансфертів з державного бюджету України переважно через використання загальних міжбюджетних трансфертів (дотацій);сприяння завершенню процесу формування об’єднаних територіальних громад.</w:t>
      </w:r>
      <w:r>
        <w:rPr>
          <w:rFonts w:ascii="Arial" w:hAnsi="Arial" w:cs="Arial"/>
          <w:bCs/>
          <w:lang w:val="ru-RU"/>
        </w:rPr>
        <w:t xml:space="preserve"> </w:t>
      </w:r>
      <w:r w:rsidRPr="006C65D2">
        <w:rPr>
          <w:rFonts w:ascii="Arial" w:hAnsi="Arial" w:cs="Arial"/>
          <w:bCs/>
          <w:lang w:val="ru-RU"/>
        </w:rPr>
        <w:t>Це поглибить фінансову децентралізацію, додатково наповнить місцеві бюджети фінансовими ресурсами, сприятиме розвитку місцевого оподаткування, надасть органам місцевого самоврядування більшої фінансової автономії.</w:t>
      </w:r>
    </w:p>
    <w:p w:rsidR="009946A6" w:rsidRDefault="009946A6" w:rsidP="009946A6">
      <w:pPr>
        <w:ind w:firstLine="284"/>
        <w:jc w:val="both"/>
        <w:rPr>
          <w:rFonts w:ascii="Arial" w:hAnsi="Arial" w:cs="Arial"/>
          <w:bCs/>
          <w:lang w:val="ru-RU"/>
        </w:rPr>
      </w:pPr>
    </w:p>
    <w:p w:rsidR="009946A6" w:rsidRDefault="009946A6" w:rsidP="009946A6">
      <w:pPr>
        <w:ind w:firstLine="284"/>
        <w:jc w:val="both"/>
        <w:rPr>
          <w:rFonts w:ascii="Arial" w:hAnsi="Arial" w:cs="Arial"/>
          <w:bCs/>
          <w:lang w:val="ru-RU"/>
        </w:rPr>
      </w:pPr>
      <w:r w:rsidRPr="006C65D2">
        <w:rPr>
          <w:rFonts w:ascii="Arial" w:hAnsi="Arial" w:cs="Arial"/>
          <w:b/>
          <w:bCs/>
          <w:lang w:val="ru-RU"/>
        </w:rPr>
        <w:t>Липчук, В. В. NEET – нове соціально-економічне явище</w:t>
      </w:r>
      <w:r>
        <w:rPr>
          <w:rFonts w:ascii="Arial" w:hAnsi="Arial" w:cs="Arial"/>
          <w:bCs/>
          <w:lang w:val="ru-RU"/>
        </w:rPr>
        <w:t xml:space="preserve"> </w:t>
      </w:r>
      <w:r w:rsidRPr="006C65D2">
        <w:rPr>
          <w:rFonts w:ascii="Arial" w:hAnsi="Arial" w:cs="Arial"/>
          <w:bCs/>
          <w:lang w:val="ru-RU"/>
        </w:rPr>
        <w:t xml:space="preserve">/ </w:t>
      </w:r>
      <w:r>
        <w:rPr>
          <w:rFonts w:ascii="Arial" w:hAnsi="Arial" w:cs="Arial"/>
          <w:bCs/>
          <w:lang w:val="ru-RU"/>
        </w:rPr>
        <w:t>В. В. </w:t>
      </w:r>
      <w:r w:rsidRPr="006C65D2">
        <w:rPr>
          <w:rFonts w:ascii="Arial" w:hAnsi="Arial" w:cs="Arial"/>
          <w:bCs/>
          <w:lang w:val="ru-RU"/>
        </w:rPr>
        <w:t>Липчук // Економіка України. – 2020. – № 1. – С. 56-67.</w:t>
      </w:r>
    </w:p>
    <w:p w:rsidR="009946A6" w:rsidRPr="006C65D2" w:rsidRDefault="009946A6" w:rsidP="009946A6">
      <w:pPr>
        <w:ind w:firstLine="284"/>
        <w:jc w:val="both"/>
        <w:rPr>
          <w:rFonts w:ascii="Arial" w:hAnsi="Arial" w:cs="Arial"/>
          <w:bCs/>
          <w:lang w:val="ru-RU"/>
        </w:rPr>
      </w:pPr>
      <w:r w:rsidRPr="006C65D2">
        <w:rPr>
          <w:rFonts w:ascii="Arial" w:hAnsi="Arial" w:cs="Arial"/>
          <w:bCs/>
          <w:lang w:val="ru-RU"/>
        </w:rPr>
        <w:t>Проблема молодого покоління є однією з ключових у кожному суспільстві. В Україні вона набуває особливої значущості з огляду на посилення демографічної кризи, старіння населення та міграцію молоді. У сукупності негативних явищ поширення останнім часом набуває проблема, пов’язана з молоддю, яка не вчиться, не працює і не бажає вчитися або працювати. Ця категорія молоді у світовій практиці дістала назву NEET (not in employment, education or training). Саме потреба викликати інтерес науковців і практиків, усього суспільства до цього явища, яке може, без перебільшення, мати катастрофічні соціально-економічні наслідки для України, і стала основною метою статті. Дослідження проведено трьома окремими методами: аналізу існуючих даних (desk research); анкетного комп’ютерного (CAPI) та індивідуального (IDI) опитування; на основі літературного огляду.</w:t>
      </w:r>
    </w:p>
    <w:p w:rsidR="009946A6" w:rsidRDefault="009946A6" w:rsidP="009946A6">
      <w:pPr>
        <w:ind w:firstLine="284"/>
        <w:jc w:val="both"/>
        <w:rPr>
          <w:rFonts w:ascii="Arial" w:hAnsi="Arial" w:cs="Arial"/>
          <w:bCs/>
          <w:lang w:val="ru-RU"/>
        </w:rPr>
      </w:pPr>
      <w:r w:rsidRPr="006C65D2">
        <w:rPr>
          <w:rFonts w:ascii="Arial" w:hAnsi="Arial" w:cs="Arial"/>
          <w:bCs/>
          <w:lang w:val="ru-RU"/>
        </w:rPr>
        <w:lastRenderedPageBreak/>
        <w:t>З’ясовано сутність поняття NEET як явища та категорії молодих людей, котрі не працюють як з власної волі, так і через те, що, незважаючи на свої зусилля, не можуть знайти роботу і бути зайнятими. Виокремлено п’ять груп молодих осіб з розглядуваної категорії, подано критерії їх ідентифікації. Оцінено стан даного явища, на підставі відомостей зарубіжних дослідників та власних спостережень виявлено основні причини появи, поширення та наслідки цього явища. Особливу увагу приділено окремим рекомендаціям щодо обмеження його поширення в Україні. З цією метою наведено стратегії та програми, які набули практичного застосування в країнах Європейського Союзу.</w:t>
      </w:r>
    </w:p>
    <w:p w:rsidR="009946A6" w:rsidRDefault="009946A6" w:rsidP="009946A6">
      <w:pPr>
        <w:ind w:firstLine="284"/>
        <w:jc w:val="both"/>
        <w:rPr>
          <w:rFonts w:ascii="Arial" w:hAnsi="Arial" w:cs="Arial"/>
          <w:bCs/>
          <w:lang w:val="ru-RU"/>
        </w:rPr>
      </w:pPr>
    </w:p>
    <w:p w:rsidR="009946A6" w:rsidRDefault="009946A6" w:rsidP="009946A6">
      <w:pPr>
        <w:ind w:firstLine="284"/>
        <w:jc w:val="both"/>
        <w:rPr>
          <w:rFonts w:ascii="Arial" w:hAnsi="Arial" w:cs="Arial"/>
          <w:bCs/>
          <w:lang w:val="ru-RU"/>
        </w:rPr>
      </w:pPr>
      <w:r w:rsidRPr="001B5695">
        <w:rPr>
          <w:rFonts w:ascii="Arial" w:hAnsi="Arial" w:cs="Arial"/>
          <w:b/>
          <w:bCs/>
          <w:lang w:val="ru-RU"/>
        </w:rPr>
        <w:t>Ярим-Агаєв, О. М. Частка витрат на харчування як показник добробуту суспільства</w:t>
      </w:r>
      <w:r>
        <w:rPr>
          <w:rFonts w:ascii="Arial" w:hAnsi="Arial" w:cs="Arial"/>
          <w:bCs/>
          <w:lang w:val="ru-RU"/>
        </w:rPr>
        <w:t xml:space="preserve"> </w:t>
      </w:r>
      <w:r w:rsidRPr="001B5695">
        <w:rPr>
          <w:rFonts w:ascii="Arial" w:hAnsi="Arial" w:cs="Arial"/>
          <w:bCs/>
          <w:lang w:val="ru-RU"/>
        </w:rPr>
        <w:t>/</w:t>
      </w:r>
      <w:r w:rsidRPr="001B5695">
        <w:t xml:space="preserve"> </w:t>
      </w:r>
      <w:r w:rsidRPr="001B5695">
        <w:rPr>
          <w:rFonts w:ascii="Arial" w:hAnsi="Arial" w:cs="Arial"/>
          <w:bCs/>
          <w:lang w:val="ru-RU"/>
        </w:rPr>
        <w:t>О. М. Ярим-Агаєв, О. В. Пилипенко // Економіка України. – 2020. – № 1. – С. 68-81.</w:t>
      </w:r>
    </w:p>
    <w:p w:rsidR="009946A6" w:rsidRDefault="009946A6" w:rsidP="009946A6">
      <w:pPr>
        <w:ind w:firstLine="284"/>
        <w:jc w:val="both"/>
        <w:rPr>
          <w:rFonts w:ascii="Arial" w:hAnsi="Arial" w:cs="Arial"/>
          <w:bCs/>
          <w:lang w:val="ru-RU"/>
        </w:rPr>
      </w:pPr>
      <w:r w:rsidRPr="001B5695">
        <w:rPr>
          <w:rFonts w:ascii="Arial" w:hAnsi="Arial" w:cs="Arial"/>
          <w:bCs/>
          <w:lang w:val="ru-RU"/>
        </w:rPr>
        <w:t>Розглянуто залежність між часткою витрат на харчування в сукупних витратах домогосподарств і рівнем добробуту суспільства. Як показник частки витрат взято відношення витрат на «харчування вдома» до сукупних споживчих витрат або середньодушового доходу. Джерелом інформації є дані систем національних рахунків. Дослідження проводилося методами горизонтального і вертикального перетину. При використанні методу горизонтального перетину здійснювалися порівняння співвідношень часток витрат на продукти харчування і середньодушового валового внутрішнього доходу за паритетом купівельної спроможності за один часовий період по 46 країнах. При використанні методу вертикального перетину (часового ряду) порівнювалося співвідношення між частками витрат на харчування і рівнями сукупних споживчих витрат за тривалий період (70 років). Установлено, що між рівнем добробуту і рівнем витрат на продукти харчування існує щільний зв’язок, причому рівень достовірності є вищим при проведенні дослідження методом часового ряду. Запропоновані степенева і логарифмічна моделі забезпечують високий рівень достовірності. Розглянуто причини відхилення показників по деяких країнах, виявлено країни з аномальним рівнем показника частки витрат на харчування. Фактичні показники частки витрат на продукти харчування в Україні з високою точністю відповідають модельним показникам. Оцінено еластичність попиту на продукти харчування за рівня середньодушового доходу, вищого за середній. Установлено, що значення коефіцієнта еластичності попиту за доходом не перевищує 0,1 для країн з високим рівнем добробуту, що означає дуже низьку еластичність попиту, починаючи з певного рівня доходу. Отримані результати дозволяють обґрунтувати можливості використання показника частки витрат на продукти харчування в сукупних витратах як критерію рівня добробуту суспільства.</w:t>
      </w:r>
    </w:p>
    <w:p w:rsidR="009946A6" w:rsidRDefault="009946A6" w:rsidP="009946A6">
      <w:pPr>
        <w:ind w:firstLine="284"/>
        <w:jc w:val="both"/>
        <w:rPr>
          <w:rFonts w:ascii="Arial" w:hAnsi="Arial" w:cs="Arial"/>
          <w:b/>
          <w:bCs/>
          <w:lang w:val="ru-RU"/>
        </w:rPr>
      </w:pPr>
    </w:p>
    <w:p w:rsidR="009946A6" w:rsidRDefault="009946A6" w:rsidP="009946A6">
      <w:pPr>
        <w:ind w:firstLine="284"/>
        <w:jc w:val="both"/>
        <w:rPr>
          <w:rFonts w:ascii="Arial" w:hAnsi="Arial" w:cs="Arial"/>
          <w:bCs/>
          <w:lang w:val="ru-RU"/>
        </w:rPr>
      </w:pPr>
      <w:r w:rsidRPr="001B5695">
        <w:rPr>
          <w:rFonts w:ascii="Arial" w:hAnsi="Arial" w:cs="Arial"/>
          <w:b/>
          <w:bCs/>
          <w:lang w:val="ru-RU"/>
        </w:rPr>
        <w:t>Кістерський, Л. Л. Незбагненні шляхи європи: в пошуках гармонії</w:t>
      </w:r>
      <w:r>
        <w:rPr>
          <w:rFonts w:ascii="Arial" w:hAnsi="Arial" w:cs="Arial"/>
          <w:bCs/>
          <w:lang w:val="ru-RU"/>
        </w:rPr>
        <w:t xml:space="preserve"> </w:t>
      </w:r>
      <w:r w:rsidRPr="001B5695">
        <w:rPr>
          <w:rFonts w:ascii="Arial" w:hAnsi="Arial" w:cs="Arial"/>
          <w:bCs/>
          <w:lang w:val="ru-RU"/>
        </w:rPr>
        <w:t>/ Л. Л.</w:t>
      </w:r>
      <w:r>
        <w:rPr>
          <w:rFonts w:ascii="Arial" w:hAnsi="Arial" w:cs="Arial"/>
          <w:bCs/>
          <w:lang w:val="ru-RU"/>
        </w:rPr>
        <w:t xml:space="preserve"> </w:t>
      </w:r>
      <w:r w:rsidRPr="001B5695">
        <w:rPr>
          <w:rFonts w:ascii="Arial" w:hAnsi="Arial" w:cs="Arial"/>
          <w:bCs/>
          <w:lang w:val="ru-RU"/>
        </w:rPr>
        <w:t>Кістерський, О. А.</w:t>
      </w:r>
      <w:r>
        <w:rPr>
          <w:rFonts w:ascii="Arial" w:hAnsi="Arial" w:cs="Arial"/>
          <w:bCs/>
          <w:lang w:val="ru-RU"/>
        </w:rPr>
        <w:t xml:space="preserve"> </w:t>
      </w:r>
      <w:r w:rsidRPr="001B5695">
        <w:rPr>
          <w:rFonts w:ascii="Arial" w:hAnsi="Arial" w:cs="Arial"/>
          <w:bCs/>
          <w:lang w:val="ru-RU"/>
        </w:rPr>
        <w:t>Романенко, Т. В.</w:t>
      </w:r>
      <w:r>
        <w:rPr>
          <w:rFonts w:ascii="Arial" w:hAnsi="Arial" w:cs="Arial"/>
          <w:bCs/>
          <w:lang w:val="ru-RU"/>
        </w:rPr>
        <w:t xml:space="preserve"> </w:t>
      </w:r>
      <w:r w:rsidRPr="001B5695">
        <w:rPr>
          <w:rFonts w:ascii="Arial" w:hAnsi="Arial" w:cs="Arial"/>
          <w:bCs/>
          <w:lang w:val="ru-RU"/>
        </w:rPr>
        <w:t>Липова // Економіка України. – 2020. – № 1. – С. 82-94.</w:t>
      </w:r>
    </w:p>
    <w:p w:rsidR="009946A6" w:rsidRPr="001B5695" w:rsidRDefault="009946A6" w:rsidP="009946A6">
      <w:pPr>
        <w:ind w:firstLine="284"/>
        <w:jc w:val="both"/>
        <w:rPr>
          <w:rFonts w:ascii="Arial" w:hAnsi="Arial" w:cs="Arial"/>
          <w:bCs/>
          <w:lang w:val="ru-RU"/>
        </w:rPr>
      </w:pPr>
      <w:r w:rsidRPr="001B5695">
        <w:rPr>
          <w:rFonts w:ascii="Arial" w:hAnsi="Arial" w:cs="Arial"/>
          <w:bCs/>
          <w:lang w:val="ru-RU"/>
        </w:rPr>
        <w:t>Проаналізовано мотиви, дії та наслідки інтеграційних і дезінтеграційних дій європейських країн і окремих політиків за останні 70 років. Показано провідну роль Франції та Німеччини в повоєнному об’єднанні Європи на основі християнських цінностей. Відзначено важливу позицію французьких політиків і особливу роль міністра закордонних справ Франції післявоєнної Європи Роберта Шумана, що запропонував план об’єднання народів Європи, який в сучасному вигляді перетворився на те, що ми сьогодні називаємо Європейським Союзом. Показано особливі інтеграційні успіхи за президентства в Європейській комісії француза Жака Делора. Обґрунтовано особливу роль Франції як в євроінтеграційних, так в «євроскептичних» процесах сучасної Європи. Доведено унікальність партнерства, в якому держави-члени об'єднали суверенітет у певних сферах політики та узгодили закони щодо широкого кола економічних і політичних питань.</w:t>
      </w:r>
    </w:p>
    <w:p w:rsidR="009946A6" w:rsidRPr="001B5695" w:rsidRDefault="009946A6" w:rsidP="009946A6">
      <w:pPr>
        <w:ind w:firstLine="284"/>
        <w:jc w:val="both"/>
        <w:rPr>
          <w:rFonts w:ascii="Arial" w:hAnsi="Arial" w:cs="Arial"/>
          <w:bCs/>
          <w:lang w:val="ru-RU"/>
        </w:rPr>
      </w:pPr>
      <w:r w:rsidRPr="001B5695">
        <w:rPr>
          <w:rFonts w:ascii="Arial" w:hAnsi="Arial" w:cs="Arial"/>
          <w:bCs/>
          <w:lang w:val="ru-RU"/>
        </w:rPr>
        <w:t>З’ясовано, що за останнє десятиріччя Європа явно відійшла від системи цінностей ініціаторів об’єднувальних процесів, що значною мірою стало причиною сучасної гострої кризи в ЄС; показано особливу роль Великої Британії та Німеччини у виникненні проблем, що призвели до втрати пріоритету християнських цінностей на користь короткострокового прагматизму. Проаналізовано абсорбційні можливості ЄС, які не відповідають викликам сучасного світу.</w:t>
      </w:r>
    </w:p>
    <w:p w:rsidR="009946A6" w:rsidRPr="001B5695" w:rsidRDefault="009946A6" w:rsidP="009946A6">
      <w:pPr>
        <w:ind w:firstLine="284"/>
        <w:jc w:val="both"/>
        <w:rPr>
          <w:rFonts w:ascii="Arial" w:hAnsi="Arial" w:cs="Arial"/>
          <w:bCs/>
          <w:lang w:val="ru-RU"/>
        </w:rPr>
      </w:pPr>
      <w:r w:rsidRPr="001B5695">
        <w:rPr>
          <w:rFonts w:ascii="Arial" w:hAnsi="Arial" w:cs="Arial"/>
          <w:bCs/>
          <w:lang w:val="ru-RU"/>
        </w:rPr>
        <w:t>Доведено, що хоча основні християнські цінності формували багато європейських інституцій, сучасне переважання матеріалістичних цінностей в Європі та прагнення негайного матеріалізму викликають глибоке занепокоєння за майбутнє Об’єднаної Європи.</w:t>
      </w:r>
    </w:p>
    <w:p w:rsidR="009946A6" w:rsidRPr="006C65D2" w:rsidRDefault="009946A6" w:rsidP="009946A6">
      <w:pPr>
        <w:ind w:firstLine="284"/>
        <w:jc w:val="both"/>
        <w:rPr>
          <w:rFonts w:ascii="Arial" w:hAnsi="Arial" w:cs="Arial"/>
          <w:bCs/>
          <w:lang w:val="ru-RU"/>
        </w:rPr>
      </w:pPr>
      <w:r w:rsidRPr="001B5695">
        <w:rPr>
          <w:rFonts w:ascii="Arial" w:hAnsi="Arial" w:cs="Arial"/>
          <w:bCs/>
          <w:lang w:val="ru-RU"/>
        </w:rPr>
        <w:t>Обґрунтовано сценарії подальшого розвитку ЄС з урахуванням можливості різного ступеня інтегрованості, особливо потенціальних нових членів.</w:t>
      </w:r>
    </w:p>
    <w:p w:rsidR="009946A6" w:rsidRPr="00114060" w:rsidRDefault="009946A6" w:rsidP="009946A6">
      <w:pPr>
        <w:ind w:firstLine="284"/>
        <w:jc w:val="center"/>
        <w:rPr>
          <w:rFonts w:ascii="Arial" w:hAnsi="Arial" w:cs="Arial"/>
          <w:b/>
          <w:bCs/>
          <w:i/>
          <w:lang w:val="ru-RU"/>
        </w:rPr>
      </w:pPr>
    </w:p>
    <w:sectPr w:rsidR="009946A6" w:rsidRPr="00114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7"/>
    <w:rsid w:val="00114060"/>
    <w:rsid w:val="009946A6"/>
    <w:rsid w:val="00A21AD9"/>
    <w:rsid w:val="00F2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3954A-DB7C-4DE1-BAD6-4F44A88F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A6"/>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2168</Words>
  <Characters>12363</Characters>
  <Application>Microsoft Office Word</Application>
  <DocSecurity>0</DocSecurity>
  <Lines>103</Lines>
  <Paragraphs>29</Paragraphs>
  <ScaleCrop>false</ScaleCrop>
  <Company>SPecialiST RePack</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2020-05-27T10:28:00Z</dcterms:created>
  <dcterms:modified xsi:type="dcterms:W3CDTF">2020-05-27T10:29:00Z</dcterms:modified>
</cp:coreProperties>
</file>