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AF" w:rsidRPr="00DB6BAF" w:rsidRDefault="00DB6BAF" w:rsidP="00DB6BAF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  <w:proofErr w:type="spellStart"/>
      <w:r w:rsidRPr="00DB6BAF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Вища</w:t>
      </w:r>
      <w:proofErr w:type="spellEnd"/>
      <w:r w:rsidRPr="00DB6BAF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 </w:t>
      </w:r>
      <w:proofErr w:type="gramStart"/>
      <w:r w:rsidRPr="00DB6BAF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школа :</w:t>
      </w:r>
      <w:proofErr w:type="gramEnd"/>
      <w:r w:rsidRPr="00DB6BAF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 наук.-пр. вид. – </w:t>
      </w:r>
      <w:proofErr w:type="gramStart"/>
      <w:r w:rsidRPr="00DB6BAF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К. :</w:t>
      </w:r>
      <w:proofErr w:type="gramEnd"/>
      <w:r w:rsidRPr="00DB6BAF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Знання</w:t>
      </w:r>
      <w:proofErr w:type="spellEnd"/>
      <w:r w:rsidRPr="00DB6BAF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, 2001. – </w:t>
      </w:r>
      <w:proofErr w:type="spellStart"/>
      <w:r w:rsidRPr="00DB6BAF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Виходить</w:t>
      </w:r>
      <w:proofErr w:type="spellEnd"/>
      <w:r w:rsidRPr="00DB6BAF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щомісяця</w:t>
      </w:r>
      <w:proofErr w:type="spellEnd"/>
      <w:r w:rsidRPr="00DB6BAF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.</w:t>
      </w:r>
    </w:p>
    <w:p w:rsidR="00DB6BAF" w:rsidRPr="00DB6BAF" w:rsidRDefault="00DB6BAF" w:rsidP="00DB6BAF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DB6BAF" w:rsidRPr="00DB6BAF" w:rsidRDefault="00DB6BAF" w:rsidP="00DB6BAF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  <w:bookmarkStart w:id="0" w:name="_GoBack"/>
      <w:proofErr w:type="spellStart"/>
      <w:r w:rsidRPr="00DB6BAF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Вища</w:t>
      </w:r>
      <w:proofErr w:type="spellEnd"/>
      <w:r w:rsidRPr="00DB6BAF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 школа. – 2020. – № 1.</w:t>
      </w:r>
    </w:p>
    <w:p w:rsidR="00DB6BAF" w:rsidRPr="00DB6BAF" w:rsidRDefault="00DB6BAF" w:rsidP="00DB6BAF">
      <w:pPr>
        <w:spacing w:after="0" w:line="240" w:lineRule="auto"/>
        <w:ind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bookmarkEnd w:id="0"/>
    <w:p w:rsidR="00DB6BAF" w:rsidRPr="00DB6BAF" w:rsidRDefault="00DB6BAF" w:rsidP="00DB6BAF">
      <w:pPr>
        <w:spacing w:after="0" w:line="240" w:lineRule="auto"/>
        <w:ind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proofErr w:type="spellStart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Поркуян</w:t>
      </w:r>
      <w:proofErr w:type="spellEnd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 О.</w:t>
      </w:r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Впровадження</w:t>
      </w:r>
      <w:proofErr w:type="spellEnd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дуальної</w:t>
      </w:r>
      <w:proofErr w:type="spellEnd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форми</w:t>
      </w:r>
      <w:proofErr w:type="spellEnd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навчання</w:t>
      </w:r>
      <w:proofErr w:type="spellEnd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для </w:t>
      </w:r>
      <w:proofErr w:type="spellStart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технічних</w:t>
      </w:r>
      <w:proofErr w:type="spellEnd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спеціальностей</w:t>
      </w:r>
      <w:proofErr w:type="spellEnd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у </w:t>
      </w:r>
      <w:proofErr w:type="spellStart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співпраці</w:t>
      </w:r>
      <w:proofErr w:type="spellEnd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з </w:t>
      </w:r>
      <w:proofErr w:type="spellStart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підприємствами</w:t>
      </w:r>
      <w:proofErr w:type="spellEnd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хімічної</w:t>
      </w:r>
      <w:proofErr w:type="spellEnd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промисловості</w:t>
      </w:r>
      <w:proofErr w:type="spellEnd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в </w:t>
      </w:r>
      <w:proofErr w:type="spellStart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Луганській</w:t>
      </w:r>
      <w:proofErr w:type="spellEnd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області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/ Д</w:t>
      </w:r>
      <w:r w:rsidRPr="00DB6BA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О.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Поркуян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С. Кудрявцев, Р.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Заїка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//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Вища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школа. – 2020. – № 1. – С. 26-33.</w:t>
      </w:r>
    </w:p>
    <w:p w:rsidR="00DB6BAF" w:rsidRPr="00DB6BAF" w:rsidRDefault="00DB6BAF" w:rsidP="00DB6BAF">
      <w:pPr>
        <w:spacing w:after="0" w:line="240" w:lineRule="auto"/>
        <w:ind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Розглядається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сучасний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стан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наукових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досліджень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присвячених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упровадженню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дуальної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форми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навчання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для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технічних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спеціальностей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gram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у закладах</w:t>
      </w:r>
      <w:proofErr w:type="gram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вищої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освіти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Проаналізовано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досвід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упровадження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університетом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комбінованої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форми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на¬вчання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яка передувала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дуальній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освіті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Розкривається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досвід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співпраці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СНУ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імені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В. Даля та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промислових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підприємств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хімічної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промисловості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Луганської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області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у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підготовці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студентів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за дуальною формою та з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елементами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дуальної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форми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Накреслено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перспективи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розвитку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вищої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освіти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та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хімічної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промисловості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в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Луганській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області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після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впровадження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дуальної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форми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навчання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:rsidR="00DB6BAF" w:rsidRPr="00DB6BAF" w:rsidRDefault="00DB6BAF" w:rsidP="00DB6BAF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DB6BAF" w:rsidRPr="00DB6BAF" w:rsidRDefault="00DB6BAF" w:rsidP="00DB6BAF">
      <w:pPr>
        <w:spacing w:after="0" w:line="240" w:lineRule="auto"/>
        <w:ind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Марченко, Д. </w:t>
      </w:r>
      <w:proofErr w:type="spellStart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Діджиталізація</w:t>
      </w:r>
      <w:proofErr w:type="spellEnd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університету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/ Д. Марченко, О.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Брежнєв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//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Вища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школа. – 2020. – № 1. – С. 34–43.</w:t>
      </w:r>
    </w:p>
    <w:p w:rsidR="00DB6BAF" w:rsidRPr="00DB6BAF" w:rsidRDefault="00DB6BAF" w:rsidP="00DB6BAF">
      <w:pPr>
        <w:spacing w:after="0" w:line="240" w:lineRule="auto"/>
        <w:ind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Статтю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присвячено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практичним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крокам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спрямованим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на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упровадження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цифрових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технологій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у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діяльність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Східноукраїнського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національного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університету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імені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Володимира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Даля,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проаналізовано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схожість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і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відмінності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між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поняттями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електронного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університету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та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електронного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кампусу.</w:t>
      </w:r>
    </w:p>
    <w:p w:rsidR="00DB6BAF" w:rsidRPr="00DB6BAF" w:rsidRDefault="00DB6BAF" w:rsidP="00DB6BAF">
      <w:pPr>
        <w:spacing w:after="0" w:line="240" w:lineRule="auto"/>
        <w:ind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DB6BAF" w:rsidRPr="00DB6BAF" w:rsidRDefault="00DB6BAF" w:rsidP="00DB6BAF">
      <w:pPr>
        <w:spacing w:after="0" w:line="240" w:lineRule="auto"/>
        <w:ind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proofErr w:type="spellStart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Краус</w:t>
      </w:r>
      <w:proofErr w:type="spellEnd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, Н. </w:t>
      </w:r>
      <w:proofErr w:type="spellStart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Інститут</w:t>
      </w:r>
      <w:proofErr w:type="spellEnd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освіти</w:t>
      </w:r>
      <w:proofErr w:type="spellEnd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в </w:t>
      </w:r>
      <w:proofErr w:type="spellStart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інноваційно-підприємницькому</w:t>
      </w:r>
      <w:proofErr w:type="spellEnd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університеті</w:t>
      </w:r>
      <w:proofErr w:type="spellEnd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крізь</w:t>
      </w:r>
      <w:proofErr w:type="spellEnd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призму цифрового </w:t>
      </w:r>
      <w:proofErr w:type="spellStart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студентоцентризму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/ Н.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Краус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В.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Осецький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//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Вища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школа. – 2020. – № 1. – С. 44–54.</w:t>
      </w:r>
    </w:p>
    <w:p w:rsidR="00DB6BAF" w:rsidRPr="00DB6BAF" w:rsidRDefault="00DB6BAF" w:rsidP="00DB6BAF">
      <w:pPr>
        <w:spacing w:after="0" w:line="240" w:lineRule="auto"/>
        <w:ind w:firstLine="284"/>
        <w:jc w:val="both"/>
        <w:rPr>
          <w:rFonts w:ascii="Arial" w:eastAsia="Times New Roman" w:hAnsi="Arial" w:cs="Arial"/>
          <w:bCs/>
          <w:sz w:val="20"/>
          <w:szCs w:val="20"/>
          <w:lang w:val="uk-UA" w:eastAsia="ru-RU"/>
        </w:rPr>
      </w:pPr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У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статті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досліджено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цифровий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кубічний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простір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інституту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креативного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індивідуума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/студента в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інноваційно-підприємницькому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університеті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що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формує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нову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еко¬номічну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віртуальну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цифрову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реальність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через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співвідношення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цифрових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навиків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інтелекту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мислення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та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бачення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на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цифрові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ідеї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та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інститут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цифрової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освіти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Ви¬значено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важливу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роль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становлення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цифрового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кубічного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освітнього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простору у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ході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цифровізації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економіки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України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адже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він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формує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“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цифрову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людину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” з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нови¬ми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знаннями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й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здібностями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що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конче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потрібно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для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майбутньої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української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циф¬рової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спільноти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До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рушійних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сил цифрового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кубічного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освітнього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простору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віднесено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такі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формальні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інституції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: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цифрові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правила,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цифрові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знання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цифрову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інформацію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цифровий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порядок. Названо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неформальні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цифрові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інституції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інституту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освіти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а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саме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: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цифрове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виховання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цифрові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традиції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цифрові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цінності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цифрове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бачення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цифрове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мислення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цифрове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сприйняття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Pr="00DB6BA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DB6BAF">
        <w:rPr>
          <w:rFonts w:ascii="Arial" w:eastAsia="Times New Roman" w:hAnsi="Arial" w:cs="Arial"/>
          <w:bCs/>
          <w:sz w:val="20"/>
          <w:szCs w:val="20"/>
          <w:lang w:val="uk-UA" w:eastAsia="ru-RU"/>
        </w:rPr>
        <w:t xml:space="preserve">За аналогією побудови всім відомого кубика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val="uk-UA" w:eastAsia="ru-RU"/>
        </w:rPr>
        <w:t>Рубіка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val="uk-UA" w:eastAsia="ru-RU"/>
        </w:rPr>
        <w:t xml:space="preserve"> (“Магічний куб” угорського скульптора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val="uk-UA" w:eastAsia="ru-RU"/>
        </w:rPr>
        <w:t>Ерньо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val="uk-UA"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val="uk-UA" w:eastAsia="ru-RU"/>
        </w:rPr>
        <w:t>Рубіка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val="uk-UA" w:eastAsia="ru-RU"/>
        </w:rPr>
        <w:t xml:space="preserve">) аргументовано розкрито той факт, що формування ефективного інноваційно-підприємницького університету можливе за умов досягнення одночасних парних гармонійних взаємовідносин “цифрова наука – цифрова освіта”, “цифрові правила – цифрові традиції”, “цифрові навики – цифрова зрілість”, “цифрова ментальність – цифрове суспільство”, “цифровий інтелект – цифрова якість”, “цифрова культура – цифрові компетентності” (одержання квадрата граней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val="uk-UA" w:eastAsia="ru-RU"/>
        </w:rPr>
        <w:t>кубіка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val="uk-UA" w:eastAsia="ru-RU"/>
        </w:rPr>
        <w:t xml:space="preserve"> одного кольору). Автори висловлюють думку, що в результаті цього утворюється особливе середовище – цифровий кубічний простір нового інституту освіти, сформованого на засадах “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val="uk-UA" w:eastAsia="ru-RU"/>
        </w:rPr>
        <w:t>цифровоїлюдини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val="uk-UA" w:eastAsia="ru-RU"/>
        </w:rPr>
        <w:t xml:space="preserve">”, креативного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val="uk-UA" w:eastAsia="ru-RU"/>
        </w:rPr>
        <w:t>інди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val="uk-UA" w:eastAsia="ru-RU"/>
        </w:rPr>
        <w:t xml:space="preserve">-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val="uk-UA" w:eastAsia="ru-RU"/>
        </w:rPr>
        <w:t>відуума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val="uk-UA" w:eastAsia="ru-RU"/>
        </w:rPr>
        <w:t>/студента.</w:t>
      </w:r>
    </w:p>
    <w:p w:rsidR="00DB6BAF" w:rsidRPr="00DB6BAF" w:rsidRDefault="00DB6BAF" w:rsidP="00DB6BAF">
      <w:pPr>
        <w:spacing w:after="0" w:line="240" w:lineRule="auto"/>
        <w:ind w:firstLine="284"/>
        <w:jc w:val="both"/>
        <w:rPr>
          <w:rFonts w:ascii="Arial" w:eastAsia="Times New Roman" w:hAnsi="Arial" w:cs="Arial"/>
          <w:bCs/>
          <w:sz w:val="20"/>
          <w:szCs w:val="20"/>
          <w:lang w:val="uk-UA" w:eastAsia="ru-RU"/>
        </w:rPr>
      </w:pPr>
      <w:r w:rsidRPr="00DB6BAF">
        <w:rPr>
          <w:rFonts w:ascii="Arial" w:eastAsia="Times New Roman" w:hAnsi="Arial" w:cs="Arial"/>
          <w:bCs/>
          <w:sz w:val="20"/>
          <w:szCs w:val="20"/>
          <w:lang w:val="uk-UA" w:eastAsia="ru-RU"/>
        </w:rPr>
        <w:t xml:space="preserve">Представлено особливості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val="uk-UA" w:eastAsia="ru-RU"/>
        </w:rPr>
        <w:t>інституціоналізації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val="uk-UA" w:eastAsia="ru-RU"/>
        </w:rPr>
        <w:t xml:space="preserve"> інституту освіти у процесі становлення інноваційно-підприємницького університету, а саме: реалізм та базування на інтересах і цінностях головних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val="uk-UA" w:eastAsia="ru-RU"/>
        </w:rPr>
        <w:t>стейкхолдерів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val="uk-UA" w:eastAsia="ru-RU"/>
        </w:rPr>
        <w:t xml:space="preserve">; стратегічний фокус та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val="uk-UA" w:eastAsia="ru-RU"/>
        </w:rPr>
        <w:t>релевантність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val="uk-UA" w:eastAsia="ru-RU"/>
        </w:rPr>
        <w:t xml:space="preserve">. Аргументовано низку умов успішної роботи інституту освіти в інноваційно-підприємницькому університеті крізь призму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val="uk-UA" w:eastAsia="ru-RU"/>
        </w:rPr>
        <w:t>студентоцентризму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val="uk-UA" w:eastAsia="ru-RU"/>
        </w:rPr>
        <w:t>, серед них такі: власні методики та інструменти, що дозволяють у стислі терміни знайти, протестувати і працевлаштувати сотні фахівців.</w:t>
      </w:r>
    </w:p>
    <w:p w:rsidR="00DB6BAF" w:rsidRPr="00DB6BAF" w:rsidRDefault="00DB6BAF" w:rsidP="00DB6BAF">
      <w:pPr>
        <w:spacing w:after="0" w:line="240" w:lineRule="auto"/>
        <w:ind w:firstLine="284"/>
        <w:jc w:val="both"/>
        <w:rPr>
          <w:rFonts w:ascii="Arial" w:eastAsia="Times New Roman" w:hAnsi="Arial" w:cs="Arial"/>
          <w:bCs/>
          <w:sz w:val="20"/>
          <w:szCs w:val="20"/>
          <w:lang w:val="uk-UA" w:eastAsia="ru-RU"/>
        </w:rPr>
      </w:pPr>
      <w:r w:rsidRPr="00DB6BAF">
        <w:rPr>
          <w:rFonts w:ascii="Arial" w:eastAsia="Times New Roman" w:hAnsi="Arial" w:cs="Arial"/>
          <w:bCs/>
          <w:sz w:val="20"/>
          <w:szCs w:val="20"/>
          <w:lang w:val="uk-UA" w:eastAsia="ru-RU"/>
        </w:rPr>
        <w:t>Запропоновано авторське осмислення та трактування запропонованої науковцями категорії “цифрова освіта в інноваційно-підприємницькому університеті”. Вказано, що становлення вітчизняних інноваційно-підприємницьких університетів та якісне їх функціонування можливе в рамках роботи ланцюга типу “цифрова ідентифікація – цифровий саморозвиток – цифрові ініціативи”.</w:t>
      </w:r>
    </w:p>
    <w:p w:rsidR="00DB6BAF" w:rsidRPr="00DB6BAF" w:rsidRDefault="00DB6BAF" w:rsidP="00DB6BAF">
      <w:pPr>
        <w:spacing w:after="0" w:line="240" w:lineRule="auto"/>
        <w:ind w:firstLine="284"/>
        <w:jc w:val="both"/>
        <w:rPr>
          <w:rFonts w:ascii="Arial" w:eastAsia="Times New Roman" w:hAnsi="Arial" w:cs="Arial"/>
          <w:bCs/>
          <w:sz w:val="20"/>
          <w:szCs w:val="20"/>
          <w:lang w:val="uk-UA" w:eastAsia="ru-RU"/>
        </w:rPr>
      </w:pPr>
    </w:p>
    <w:p w:rsidR="00DB6BAF" w:rsidRPr="00DB6BAF" w:rsidRDefault="00DB6BAF" w:rsidP="00DB6BAF">
      <w:pPr>
        <w:spacing w:after="0" w:line="240" w:lineRule="auto"/>
        <w:ind w:firstLine="284"/>
        <w:jc w:val="both"/>
        <w:rPr>
          <w:rFonts w:ascii="Arial" w:eastAsia="Times New Roman" w:hAnsi="Arial" w:cs="Arial"/>
          <w:bCs/>
          <w:sz w:val="20"/>
          <w:szCs w:val="20"/>
          <w:lang w:val="uk-UA" w:eastAsia="ru-RU"/>
        </w:rPr>
      </w:pPr>
      <w:proofErr w:type="spellStart"/>
      <w:r w:rsidRPr="00DB6BAF">
        <w:rPr>
          <w:rFonts w:ascii="Arial" w:eastAsia="Times New Roman" w:hAnsi="Arial" w:cs="Arial"/>
          <w:b/>
          <w:bCs/>
          <w:sz w:val="20"/>
          <w:szCs w:val="20"/>
          <w:lang w:val="uk-UA" w:eastAsia="ru-RU"/>
        </w:rPr>
        <w:t>Нестуля</w:t>
      </w:r>
      <w:proofErr w:type="spellEnd"/>
      <w:r w:rsidRPr="00DB6BAF">
        <w:rPr>
          <w:rFonts w:ascii="Arial" w:eastAsia="Times New Roman" w:hAnsi="Arial" w:cs="Arial"/>
          <w:b/>
          <w:bCs/>
          <w:sz w:val="20"/>
          <w:szCs w:val="20"/>
          <w:lang w:val="uk-UA" w:eastAsia="ru-RU"/>
        </w:rPr>
        <w:t>, О. Моделювання дидактичної системи формування лідерської компетентності майбутніх менеджерів у сучасному університеті</w:t>
      </w:r>
      <w:r w:rsidRPr="00DB6BAF">
        <w:rPr>
          <w:rFonts w:ascii="Arial" w:eastAsia="Times New Roman" w:hAnsi="Arial" w:cs="Arial"/>
          <w:bCs/>
          <w:sz w:val="20"/>
          <w:szCs w:val="20"/>
          <w:lang w:val="uk-UA" w:eastAsia="ru-RU"/>
        </w:rPr>
        <w:t xml:space="preserve"> / О.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val="uk-UA" w:eastAsia="ru-RU"/>
        </w:rPr>
        <w:t>Нестуля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val="uk-UA" w:eastAsia="ru-RU"/>
        </w:rPr>
        <w:t xml:space="preserve">, С.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val="uk-UA" w:eastAsia="ru-RU"/>
        </w:rPr>
        <w:t>Нестуля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val="uk-UA" w:eastAsia="ru-RU"/>
        </w:rPr>
        <w:t xml:space="preserve">, Н.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val="uk-UA" w:eastAsia="ru-RU"/>
        </w:rPr>
        <w:t>Кононец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val="uk-UA" w:eastAsia="ru-RU"/>
        </w:rPr>
        <w:t xml:space="preserve"> // Вища школа. – 2020. – № 1. – С. 55–71.</w:t>
      </w:r>
    </w:p>
    <w:p w:rsidR="00DB6BAF" w:rsidRPr="00DB6BAF" w:rsidRDefault="00DB6BAF" w:rsidP="00DB6BAF">
      <w:pPr>
        <w:spacing w:after="0" w:line="240" w:lineRule="auto"/>
        <w:ind w:firstLine="284"/>
        <w:jc w:val="both"/>
        <w:rPr>
          <w:rFonts w:ascii="Arial" w:eastAsia="Times New Roman" w:hAnsi="Arial" w:cs="Arial"/>
          <w:bCs/>
          <w:sz w:val="20"/>
          <w:szCs w:val="20"/>
          <w:lang w:val="uk-UA" w:eastAsia="ru-RU"/>
        </w:rPr>
      </w:pPr>
      <w:r w:rsidRPr="00DB6BAF">
        <w:rPr>
          <w:rFonts w:ascii="Arial" w:eastAsia="Times New Roman" w:hAnsi="Arial" w:cs="Arial"/>
          <w:bCs/>
          <w:sz w:val="20"/>
          <w:szCs w:val="20"/>
          <w:lang w:val="uk-UA" w:eastAsia="ru-RU"/>
        </w:rPr>
        <w:t xml:space="preserve">У статті запропоновано модель дидактичної системи формування лідерської компетентності майбутніх менеджерів у сучасному університеті та наведено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val="uk-UA" w:eastAsia="ru-RU"/>
        </w:rPr>
        <w:t>ре¬зультати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val="uk-UA" w:eastAsia="ru-RU"/>
        </w:rPr>
        <w:t xml:space="preserve"> експериментальної перевірки, що засвідчує її ефективність. Реалізована на основі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val="uk-UA" w:eastAsia="ru-RU"/>
        </w:rPr>
        <w:t>студентоцентрованої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val="uk-UA" w:eastAsia="ru-RU"/>
        </w:rPr>
        <w:t xml:space="preserve"> інтегральної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val="uk-UA" w:eastAsia="ru-RU"/>
        </w:rPr>
        <w:t>системотвірної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val="uk-UA" w:eastAsia="ru-RU"/>
        </w:rPr>
        <w:t xml:space="preserve"> парадигми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val="uk-UA" w:eastAsia="ru-RU"/>
        </w:rPr>
        <w:t>ресурсно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val="uk-UA" w:eastAsia="ru-RU"/>
        </w:rPr>
        <w:t xml:space="preserve">- орієнтованого навчання, вона включає концептуально-цільову, структурно-змістовну, процесуально-технологічну, мотиваційну, діагностико-результативну підсистеми. Створене за моделлю інформаційно-освітнє середовище університету забезпечує постійну взаємодію усіх її підсистем та консолідацію різних ресурсів, уможливлює реалізацію мети, змісту, форм, методів, засобів, додаткових ресурсів навчання, спрямованих на формування </w:t>
      </w:r>
      <w:r w:rsidRPr="00DB6BAF">
        <w:rPr>
          <w:rFonts w:ascii="Arial" w:eastAsia="Times New Roman" w:hAnsi="Arial" w:cs="Arial"/>
          <w:bCs/>
          <w:sz w:val="20"/>
          <w:szCs w:val="20"/>
          <w:lang w:val="uk-UA" w:eastAsia="ru-RU"/>
        </w:rPr>
        <w:lastRenderedPageBreak/>
        <w:t xml:space="preserve">лідерської компетентності майбутніх менеджерів. Рівень її сформованості пропонується оцінювати за такими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val="uk-UA" w:eastAsia="ru-RU"/>
        </w:rPr>
        <w:t>крите¬ріями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val="uk-UA" w:eastAsia="ru-RU"/>
        </w:rPr>
        <w:t>: когнітивним, інтегрально-діяльнісним та особистісним.</w:t>
      </w:r>
    </w:p>
    <w:p w:rsidR="00DB6BAF" w:rsidRPr="00DB6BAF" w:rsidRDefault="00DB6BAF" w:rsidP="00DB6BAF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DB6BAF" w:rsidRPr="00DB6BAF" w:rsidRDefault="00DB6BAF" w:rsidP="00DB6BAF">
      <w:pPr>
        <w:spacing w:after="0" w:line="240" w:lineRule="auto"/>
        <w:ind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proofErr w:type="spellStart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Винничук</w:t>
      </w:r>
      <w:proofErr w:type="spellEnd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, Р. </w:t>
      </w:r>
      <w:proofErr w:type="spellStart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Інноваційні</w:t>
      </w:r>
      <w:proofErr w:type="spellEnd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підходи</w:t>
      </w:r>
      <w:proofErr w:type="spellEnd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до </w:t>
      </w:r>
      <w:proofErr w:type="spellStart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мотивації</w:t>
      </w:r>
      <w:proofErr w:type="spellEnd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студентів</w:t>
      </w:r>
      <w:proofErr w:type="spellEnd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покоління</w:t>
      </w:r>
      <w:proofErr w:type="spellEnd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Z </w:t>
      </w:r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/ Р.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Винничук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//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Вища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школа. – 2020. – № 1. – С. 72–79.</w:t>
      </w:r>
    </w:p>
    <w:p w:rsidR="00DB6BAF" w:rsidRPr="00DB6BAF" w:rsidRDefault="00DB6BAF" w:rsidP="00DB6BAF">
      <w:pPr>
        <w:spacing w:after="0" w:line="240" w:lineRule="auto"/>
        <w:ind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У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статті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висвітлюються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питання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пов’язані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з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теорією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поколінь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Окремий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акцент автор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робить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на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особливостях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покоління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2 як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покоління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сучасних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студентів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Пред¬ставлено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характеристику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цього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покоління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і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запропоновано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методи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які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будуть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ефективними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у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навчанні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сучасних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студентів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та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основні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підходи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до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формування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мотивації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та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залученості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їх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у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навчальний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процес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Особлива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увага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приділена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гейміфікації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та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діджиталізації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навчального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процесу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а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також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структурі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подання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інформації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:rsidR="00DB6BAF" w:rsidRPr="00DB6BAF" w:rsidRDefault="00DB6BAF" w:rsidP="00DB6BAF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DB6BAF" w:rsidRPr="00DB6BAF" w:rsidRDefault="00DB6BAF" w:rsidP="00DB6BAF">
      <w:pPr>
        <w:spacing w:after="0" w:line="240" w:lineRule="auto"/>
        <w:ind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proofErr w:type="spellStart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Леонтьєва</w:t>
      </w:r>
      <w:proofErr w:type="spellEnd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, В. </w:t>
      </w:r>
      <w:proofErr w:type="spellStart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Особистісні</w:t>
      </w:r>
      <w:proofErr w:type="spellEnd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виміри</w:t>
      </w:r>
      <w:proofErr w:type="spellEnd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університетської</w:t>
      </w:r>
      <w:proofErr w:type="spellEnd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освіти</w:t>
      </w:r>
      <w:proofErr w:type="spellEnd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у </w:t>
      </w:r>
      <w:proofErr w:type="spellStart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контексті</w:t>
      </w:r>
      <w:proofErr w:type="spellEnd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проблем </w:t>
      </w:r>
      <w:proofErr w:type="spellStart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культуротворчого</w:t>
      </w:r>
      <w:proofErr w:type="spellEnd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процесу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/ В.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Леонтьєва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//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Вища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школа. – 2020. – № 1. – С. 80–92.</w:t>
      </w:r>
    </w:p>
    <w:p w:rsidR="00DB6BAF" w:rsidRPr="00DB6BAF" w:rsidRDefault="00DB6BAF" w:rsidP="00DB6BAF">
      <w:pPr>
        <w:spacing w:after="0" w:line="240" w:lineRule="auto"/>
        <w:ind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У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статті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уточнено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визначення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“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людини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культури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” як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особистості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здатної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до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культуротворчості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у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своїй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епосі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: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це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сукупний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результат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цілеспрямованих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індивідуальних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афірмативних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зусиль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із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професійного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навчання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та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намагань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досягти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якомога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повної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культуротворчої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свободи-відповідальності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а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також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власної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аксіологічної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ідентичності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що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розглядається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як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важливий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особистісний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вимір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університетської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освіти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Міра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та “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якісність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”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аксіологічної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ідентичності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суб’єктів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культуротворчого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процесу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може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бути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чинником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подолання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системної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кризи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яку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переживає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сучасне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українське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суспільство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Запропоновано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ідею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для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можливого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по¬дальшого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обговорення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: реальна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затребуваність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університетської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освіти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сьогодні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залежить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зокрема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й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від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того,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чи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здатен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університет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як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складова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освітньої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підсистеми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цілеспрямованого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культуротворчого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процесу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надати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/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забезпечити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умови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для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формування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збереження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/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відтворення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та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розвитку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саме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аксіологічної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ідентич¬ності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як начала,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що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“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структурує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”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особистість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:rsidR="00DB6BAF" w:rsidRPr="00DB6BAF" w:rsidRDefault="00DB6BAF" w:rsidP="00DB6BAF">
      <w:pPr>
        <w:spacing w:after="0" w:line="240" w:lineRule="auto"/>
        <w:ind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DB6BAF" w:rsidRPr="00DB6BAF" w:rsidRDefault="00DB6BAF" w:rsidP="00DB6BAF">
      <w:pPr>
        <w:spacing w:after="0" w:line="240" w:lineRule="auto"/>
        <w:ind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Корсак, К. </w:t>
      </w:r>
      <w:proofErr w:type="spellStart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Якість</w:t>
      </w:r>
      <w:proofErr w:type="spellEnd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освіти</w:t>
      </w:r>
      <w:proofErr w:type="spellEnd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і </w:t>
      </w:r>
      <w:proofErr w:type="spellStart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стандарти</w:t>
      </w:r>
      <w:proofErr w:type="spellEnd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в ХХІ ст. (</w:t>
      </w:r>
      <w:proofErr w:type="spellStart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міфи</w:t>
      </w:r>
      <w:proofErr w:type="spellEnd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і </w:t>
      </w:r>
      <w:proofErr w:type="spellStart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реалії</w:t>
      </w:r>
      <w:proofErr w:type="spellEnd"/>
      <w:r w:rsidRPr="00DB6B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) </w:t>
      </w:r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/ К. Корсак, Ю. Корсак //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Вища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школа. – 2020. – № 1. – С. 93–107.</w:t>
      </w:r>
    </w:p>
    <w:p w:rsidR="00DB6BAF" w:rsidRPr="00DB6BAF" w:rsidRDefault="00DB6BAF" w:rsidP="00DB6BAF">
      <w:pPr>
        <w:spacing w:after="0" w:line="240" w:lineRule="auto"/>
        <w:ind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У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своїй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щоденній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діяльності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автори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відстежують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важливі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наукові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відкриття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та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намагаються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передбачити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їх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практичну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реалізацію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у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забезпеченні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життя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людства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:rsidR="00DB6BAF" w:rsidRPr="00DB6BAF" w:rsidRDefault="00DB6BAF" w:rsidP="00DB6BAF">
      <w:pPr>
        <w:spacing w:after="0" w:line="240" w:lineRule="auto"/>
        <w:ind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Це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дає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змогу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порівнювати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досягнення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різних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наук і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робити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власні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висновки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прорівень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досягнень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зокрема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і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винаходів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Наш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останній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продукт –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дві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статті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для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часопису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“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Вища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школа”. У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першій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(№ 11/2019) ми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дослідили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головний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недолік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діяльності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наших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сучасників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–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відсутність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стратегії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в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мисленні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та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неспроможність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розрізняти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фейки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і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наукові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досягнення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Вона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містить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обґрунтований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прогноз на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майбутнє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як основу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стратегічного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мислення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Цього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разу ми детально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аналізуємо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стандарти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в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освіті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і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перспективи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їх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використання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для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організації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в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Україні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ноосуспільства</w:t>
      </w:r>
      <w:proofErr w:type="spellEnd"/>
      <w:r w:rsidRPr="00DB6BAF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:rsidR="009406A5" w:rsidRDefault="009406A5"/>
    <w:sectPr w:rsidR="0094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B2"/>
    <w:rsid w:val="005947B2"/>
    <w:rsid w:val="009406A5"/>
    <w:rsid w:val="00DB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44A2D-A6D6-4009-A78E-13F7745E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1146</Words>
  <Characters>6536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2020-05-27T10:19:00Z</dcterms:created>
  <dcterms:modified xsi:type="dcterms:W3CDTF">2020-05-27T10:19:00Z</dcterms:modified>
</cp:coreProperties>
</file>