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A" w:rsidRPr="00C5401A" w:rsidRDefault="00C5401A" w:rsidP="00C5401A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5401A">
        <w:rPr>
          <w:rFonts w:ascii="Arial" w:hAnsi="Arial" w:cs="Arial"/>
          <w:b/>
          <w:sz w:val="24"/>
          <w:szCs w:val="24"/>
        </w:rPr>
        <w:t>ФІНАНСИ УКРАЇНИ</w:t>
      </w:r>
      <w:r w:rsidRPr="00C5401A">
        <w:rPr>
          <w:rFonts w:ascii="Arial" w:hAnsi="Arial" w:cs="Arial"/>
          <w:b/>
          <w:sz w:val="24"/>
          <w:szCs w:val="24"/>
          <w:lang w:val="en-US"/>
        </w:rPr>
        <w:t xml:space="preserve"> 2020 № </w:t>
      </w:r>
      <w:r>
        <w:rPr>
          <w:rFonts w:ascii="Arial" w:hAnsi="Arial" w:cs="Arial"/>
          <w:b/>
          <w:sz w:val="24"/>
          <w:szCs w:val="24"/>
          <w:lang w:val="uk-UA"/>
        </w:rPr>
        <w:t>3</w:t>
      </w:r>
    </w:p>
    <w:p w:rsidR="00C5401A" w:rsidRPr="00C5401A" w:rsidRDefault="00C5401A" w:rsidP="00C5401A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C5401A" w:rsidRPr="00C5401A" w:rsidRDefault="00C5401A" w:rsidP="00C5401A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5401A">
        <w:rPr>
          <w:rFonts w:ascii="Arial" w:hAnsi="Arial" w:cs="Arial"/>
          <w:b/>
          <w:sz w:val="24"/>
          <w:szCs w:val="24"/>
          <w:lang w:val="uk-UA"/>
        </w:rPr>
        <w:t>ЗМІСТ</w:t>
      </w:r>
    </w:p>
    <w:p w:rsidR="00917A40" w:rsidRPr="00C5401A" w:rsidRDefault="00917A40" w:rsidP="00C5401A">
      <w:pPr>
        <w:spacing w:after="0"/>
        <w:rPr>
          <w:rFonts w:ascii="Arial" w:hAnsi="Arial" w:cs="Arial"/>
          <w:sz w:val="24"/>
          <w:szCs w:val="24"/>
        </w:rPr>
      </w:pPr>
    </w:p>
    <w:p w:rsidR="00917A40" w:rsidRPr="00C5401A" w:rsidRDefault="00917A40" w:rsidP="00917A40">
      <w:pPr>
        <w:rPr>
          <w:rFonts w:ascii="Arial" w:hAnsi="Arial" w:cs="Arial"/>
          <w:b/>
          <w:bCs/>
          <w:sz w:val="24"/>
          <w:szCs w:val="24"/>
        </w:rPr>
      </w:pPr>
      <w:r w:rsidRPr="00C5401A">
        <w:rPr>
          <w:rFonts w:ascii="Arial" w:hAnsi="Arial" w:cs="Arial"/>
          <w:b/>
          <w:bCs/>
          <w:sz w:val="24"/>
          <w:szCs w:val="24"/>
        </w:rPr>
        <w:t>ФІНАНСИ ІНСТИТУЦІЙНИХ СЕКТОРІВ ЕКОНОМІКИ</w:t>
      </w:r>
    </w:p>
    <w:p w:rsidR="00917A40" w:rsidRPr="00C5401A" w:rsidRDefault="00917A40" w:rsidP="00917A40">
      <w:pPr>
        <w:rPr>
          <w:rFonts w:ascii="Arial" w:hAnsi="Arial" w:cs="Arial"/>
          <w:sz w:val="24"/>
          <w:szCs w:val="24"/>
        </w:rPr>
      </w:pPr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Даниленко А. І. 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Фінансові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ризики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їх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сутність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оцінювання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 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підприємствах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України</w:t>
      </w:r>
      <w:proofErr w:type="spellEnd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/ А. І. Даниленко // </w:t>
      </w:r>
      <w:bookmarkStart w:id="0" w:name="_GoBack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Фінанси </w:t>
      </w:r>
      <w:proofErr w:type="spellStart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України</w:t>
      </w:r>
      <w:bookmarkEnd w:id="0"/>
      <w:proofErr w:type="spellEnd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. - 2020. - № 3. - C. 7-</w:t>
      </w:r>
      <w:proofErr w:type="gramStart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22..</w:t>
      </w:r>
      <w:proofErr w:type="gramEnd"/>
    </w:p>
    <w:p w:rsidR="00917A40" w:rsidRPr="00917A40" w:rsidRDefault="00917A40" w:rsidP="00917A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розглянуто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різні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підходи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моніторингу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прогностичних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припущень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наслідків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загроз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порушення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рівноваги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фінансовому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нефінансовому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секторах народного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Спостерігається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ситуація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коли в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менеджменті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вимогу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за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настановами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Національного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банку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),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компаніях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увійшли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 складу</w:t>
      </w:r>
      <w:proofErr w:type="gram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вітчизняних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іноземних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фінансово-промислових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і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окремих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великих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суб’єктах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підприємництва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широко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використовується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фінансових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котрі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відображають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практично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складові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турбулентних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явищ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господарському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просторі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Водночас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майже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контролюють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більшості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середніх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всіх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малих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підприємствах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Проблемі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виявлення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нейтралізації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управлінській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суб’єктів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присвячено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багато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публікацій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проте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цілому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реальної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економіки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питання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посилення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активності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урядів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розглядалися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здебільшого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фрагментарно та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непослідовно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широкого фактичного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матеріалу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з’ясовано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особливості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підприємствах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умовах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зростання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ентропії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ділового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наступній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буде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запропоновано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концептуальні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засади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підвищення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ролі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держави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нейтралізації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імовірних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фінансових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викликів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дестабілізації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17A40" w:rsidRPr="00917A40" w:rsidRDefault="00917A40" w:rsidP="00917A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7A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Ключові</w:t>
      </w:r>
      <w:proofErr w:type="spellEnd"/>
      <w:r w:rsidRPr="00917A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17A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слова:</w:t>
      </w:r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фінансові</w:t>
      </w:r>
      <w:proofErr w:type="spellEnd"/>
      <w:proofErr w:type="gram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сутність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фактори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звітність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підприємств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-менеджмент</w:t>
      </w:r>
    </w:p>
    <w:p w:rsidR="00917A40" w:rsidRPr="00917A40" w:rsidRDefault="00917A40" w:rsidP="00917A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JEL: D81, G32</w:t>
      </w:r>
    </w:p>
    <w:p w:rsidR="00917A40" w:rsidRPr="00C5401A" w:rsidRDefault="00917A40" w:rsidP="00917A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401A" w:rsidRPr="00C5401A" w:rsidRDefault="00C5401A" w:rsidP="00917A40">
      <w:pPr>
        <w:rPr>
          <w:rFonts w:ascii="Arial" w:hAnsi="Arial" w:cs="Arial"/>
          <w:b/>
          <w:bCs/>
          <w:sz w:val="24"/>
          <w:szCs w:val="24"/>
        </w:rPr>
      </w:pPr>
      <w:r w:rsidRPr="00C5401A">
        <w:rPr>
          <w:rFonts w:ascii="Arial" w:hAnsi="Arial" w:cs="Arial"/>
          <w:b/>
          <w:bCs/>
          <w:sz w:val="24"/>
          <w:szCs w:val="24"/>
        </w:rPr>
        <w:t>МОНІТОРИНГ ДОСЯГНЕННЯ ЦІЛЕЙ СТАЛОГО РОЗВИТКУ</w:t>
      </w:r>
    </w:p>
    <w:p w:rsidR="00C5401A" w:rsidRPr="00C5401A" w:rsidRDefault="00C5401A" w:rsidP="00C54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proofErr w:type="spellStart"/>
      <w:r w:rsidRPr="00C5401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Ловінська</w:t>
      </w:r>
      <w:proofErr w:type="spellEnd"/>
      <w:r w:rsidRPr="00C5401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Л. Г. </w:t>
      </w:r>
      <w:proofErr w:type="spellStart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Деякі</w:t>
      </w:r>
      <w:proofErr w:type="spellEnd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аспекти</w:t>
      </w:r>
      <w:proofErr w:type="spellEnd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звітності</w:t>
      </w:r>
      <w:proofErr w:type="spellEnd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компаній</w:t>
      </w:r>
      <w:proofErr w:type="spellEnd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про </w:t>
      </w:r>
      <w:proofErr w:type="spellStart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сталий</w:t>
      </w:r>
      <w:proofErr w:type="spellEnd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C5401A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розвиток</w:t>
      </w:r>
      <w:proofErr w:type="spellEnd"/>
      <w:r w:rsidRPr="00C5401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 / Л. Г. </w:t>
      </w:r>
      <w:proofErr w:type="spellStart"/>
      <w:r w:rsidRPr="00C5401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Ловінська</w:t>
      </w:r>
      <w:proofErr w:type="spellEnd"/>
      <w:r w:rsidRPr="00C5401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// Фінанси </w:t>
      </w:r>
      <w:proofErr w:type="spellStart"/>
      <w:r w:rsidRPr="00C5401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України</w:t>
      </w:r>
      <w:proofErr w:type="spellEnd"/>
      <w:r w:rsidRPr="00C5401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. - 2020. - № 3. - C. 23-42.</w:t>
      </w:r>
    </w:p>
    <w:p w:rsidR="00C5401A" w:rsidRPr="00C5401A" w:rsidRDefault="00C5401A" w:rsidP="00C54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C5401A" w:rsidRPr="00C5401A" w:rsidRDefault="00917A40" w:rsidP="00C54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В статье на базе изучения международных регуляторных актов в сфере нефинансовой отчетности </w:t>
      </w:r>
      <w:proofErr w:type="gram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У</w:t>
      </w:r>
      <w:proofErr w:type="gram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статті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на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базі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вивчення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міжнародних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регуляторних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актів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у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сфері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нефінансової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звітності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розкрито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основні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тенденції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її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удосконалення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на глобальному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рівні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як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звітності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компаній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про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внесок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у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досягнення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Цілей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сталого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розвитку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Висвітлено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фактори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якісного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відображення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інформації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в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цій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звітності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. Проведено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аналіз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нефінансової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звітності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12 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зарубіжних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металургійних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компаній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, на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підставі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котрого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виявлено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що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не вся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інформація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про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сталий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розвиток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, наведена в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ній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доречна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й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суттєва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. Доведено,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що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різноманіття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видів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нефінансової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звітності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призводить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до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зниження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її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ефективності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при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виконанні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найважливішої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функції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–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розкриття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релевантної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нефінансової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інформації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про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досягнення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Цілей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сталого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розвитку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Обґрунтовано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що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уникнути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цієї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проблеми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можливо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лише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за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умови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уніфікації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показників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нефінансової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звітності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та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стандартизації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підходів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до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її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складання</w:t>
      </w:r>
      <w:proofErr w:type="spellEnd"/>
      <w:r w:rsidR="00C5401A" w:rsidRPr="00C5401A">
        <w:rPr>
          <w:rFonts w:ascii="Arial" w:hAnsi="Arial" w:cs="Arial"/>
          <w:i/>
          <w:iCs/>
          <w:color w:val="000000"/>
          <w:bdr w:val="none" w:sz="0" w:space="0" w:color="auto" w:frame="1"/>
        </w:rPr>
        <w:t>.</w:t>
      </w:r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Ключові</w:t>
      </w:r>
      <w:proofErr w:type="spellEnd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слова:</w:t>
      </w:r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Цілі</w:t>
      </w:r>
      <w:proofErr w:type="spellEnd"/>
      <w:proofErr w:type="gram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сталого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звітність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сталий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розвиток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нефінансова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звітність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якісні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характеристики,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доречність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917A40" w:rsidRPr="00C5401A" w:rsidRDefault="00917A40" w:rsidP="00C54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C5401A">
        <w:rPr>
          <w:rFonts w:ascii="Arial" w:hAnsi="Arial" w:cs="Arial"/>
          <w:color w:val="000000"/>
          <w:lang w:val="en-US"/>
        </w:rPr>
        <w:t>JEL: M41, M48, Q01</w:t>
      </w:r>
    </w:p>
    <w:p w:rsidR="00C5401A" w:rsidRPr="00C5401A" w:rsidRDefault="00C5401A" w:rsidP="00917A40">
      <w:pPr>
        <w:rPr>
          <w:rFonts w:ascii="Arial" w:hAnsi="Arial" w:cs="Arial"/>
          <w:b/>
          <w:bCs/>
          <w:sz w:val="24"/>
          <w:szCs w:val="24"/>
        </w:rPr>
      </w:pPr>
    </w:p>
    <w:p w:rsidR="00C5401A" w:rsidRPr="00C5401A" w:rsidRDefault="00C5401A" w:rsidP="00917A40">
      <w:pPr>
        <w:rPr>
          <w:rFonts w:ascii="Arial" w:hAnsi="Arial" w:cs="Arial"/>
          <w:b/>
          <w:bCs/>
          <w:sz w:val="24"/>
          <w:szCs w:val="24"/>
        </w:rPr>
      </w:pPr>
      <w:r w:rsidRPr="00C5401A">
        <w:rPr>
          <w:rFonts w:ascii="Arial" w:hAnsi="Arial" w:cs="Arial"/>
          <w:b/>
          <w:bCs/>
          <w:sz w:val="24"/>
          <w:szCs w:val="24"/>
        </w:rPr>
        <w:t>УПРАВЛІННЯ ДЕРЖАВНИМИ ФІНАНСАМИ</w:t>
      </w:r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5401A">
        <w:rPr>
          <w:rFonts w:ascii="Arial" w:hAnsi="Arial" w:cs="Arial"/>
          <w:sz w:val="24"/>
          <w:szCs w:val="24"/>
        </w:rPr>
        <w:t>Кудряшов В. П. 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Інституційне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забезпечення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імплементації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фіскальних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правил</w:t>
      </w:r>
      <w:r w:rsidRPr="00C5401A">
        <w:rPr>
          <w:rFonts w:ascii="Arial" w:hAnsi="Arial" w:cs="Arial"/>
          <w:sz w:val="24"/>
          <w:szCs w:val="24"/>
        </w:rPr>
        <w:t xml:space="preserve"> / В. П. Кудряшов // Фінанси </w:t>
      </w:r>
      <w:proofErr w:type="spellStart"/>
      <w:r w:rsidRPr="00C5401A">
        <w:rPr>
          <w:rFonts w:ascii="Arial" w:hAnsi="Arial" w:cs="Arial"/>
          <w:sz w:val="24"/>
          <w:szCs w:val="24"/>
        </w:rPr>
        <w:t>України</w:t>
      </w:r>
      <w:proofErr w:type="spellEnd"/>
      <w:r w:rsidRPr="00C5401A">
        <w:rPr>
          <w:rFonts w:ascii="Arial" w:hAnsi="Arial" w:cs="Arial"/>
          <w:sz w:val="24"/>
          <w:szCs w:val="24"/>
        </w:rPr>
        <w:t>. - 2020. - № 3. - C. 43-64</w:t>
      </w:r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аналіз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системи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забезпечують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імплементацію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 в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розподілу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повноважень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зобов’язань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відповідальності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між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складовими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Встановлено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нашій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країні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залишаються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високими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вже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впроваджені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задля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обмеження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окремі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елементи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 не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повною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мірою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відповідають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світовій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практиці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Потребують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уточнення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цілі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імплементації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вимоги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складових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Необхідно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прийняти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законодавчі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структури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регламентування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їхніх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вирішити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питання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незалежних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підтвердили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свою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результативність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забезпеченні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ім</w:t>
      </w:r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плементації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 у ЄС.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Зроблено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висновки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незалежні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інститути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повинні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отримати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достатні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повноваження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моніторингу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динаміки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оприлюднення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розроблення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рекомендацій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органам державного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стосовно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імплементації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правил, 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застосування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механізмів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урахування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Ключові</w:t>
      </w:r>
      <w:proofErr w:type="spellEnd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слова:</w:t>
      </w:r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фіскальна</w:t>
      </w:r>
      <w:proofErr w:type="spellEnd"/>
      <w:proofErr w:type="gram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політика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інститути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фіскальна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відповідальність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операції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незалежні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інститути</w:t>
      </w:r>
      <w:proofErr w:type="spellEnd"/>
    </w:p>
    <w:p w:rsidR="00917A40" w:rsidRPr="00917A40" w:rsidRDefault="00917A40" w:rsidP="00917A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JEL: E62, H68</w:t>
      </w:r>
    </w:p>
    <w:p w:rsidR="00917A40" w:rsidRPr="00C5401A" w:rsidRDefault="00917A40" w:rsidP="00917A40">
      <w:pPr>
        <w:rPr>
          <w:rFonts w:ascii="Arial" w:hAnsi="Arial" w:cs="Arial"/>
          <w:sz w:val="24"/>
          <w:szCs w:val="24"/>
        </w:rPr>
      </w:pPr>
    </w:p>
    <w:p w:rsidR="00C5401A" w:rsidRPr="00C5401A" w:rsidRDefault="00C5401A" w:rsidP="00917A40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МОНЕТАРНА ПОЛІТИКА</w:t>
      </w:r>
    </w:p>
    <w:p w:rsidR="00917A40" w:rsidRPr="00C5401A" w:rsidRDefault="00C5401A" w:rsidP="00917A4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Бортніков</w:t>
      </w:r>
      <w:proofErr w:type="spellEnd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П. </w:t>
      </w:r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Заходи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реагування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центральних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банків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банківської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спільноти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епідемію</w:t>
      </w:r>
      <w:proofErr w:type="spellEnd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коронавірусу</w:t>
      </w:r>
      <w:proofErr w:type="spellEnd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/ Г. П. </w:t>
      </w:r>
      <w:proofErr w:type="spellStart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Бортніков</w:t>
      </w:r>
      <w:proofErr w:type="spellEnd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// Фінанси </w:t>
      </w:r>
      <w:proofErr w:type="spellStart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. - 2020. - № 3. - C. 65-79</w:t>
      </w:r>
      <w:r w:rsidR="00917A40" w:rsidRPr="00C5401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17A40" w:rsidRPr="00917A40" w:rsidRDefault="00917A40" w:rsidP="00917A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наголошено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наразі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центральні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банки як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монетарної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заохочують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комерційні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банки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використовувати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буфери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капіталу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ліквідності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реагування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проблеми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спричинені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наслідками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коронавірусної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інфекції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слушними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є заходи з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полегшення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боргового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тягаря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малого й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середнього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бізнесу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домогосподарств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Фіскальні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заходи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вигляді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субсидій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тим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галузям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економіки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котрі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найбільше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постраждали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кризи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сприятимуть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підвищенню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кредитоспроможності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клієнтів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зменшенню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дефолтів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Обґрунтовано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потребу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створенні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стабілізаційного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фонду за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додаткових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зборів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великих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корпорацій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державного бюджету й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державних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запозичень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Серед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монетарних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запропоновано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облікової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ставки,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розширення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доступу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ліквідності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Заходи у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нагляду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включають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призупинення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стрес-тестів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банкам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реструктуризацію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кредитів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постраждалим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позичальникам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пом’якшення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вимог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класифікації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кредитного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ризику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обмеження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виїзних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перевірок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Зазначено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комерційні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банки в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нинішніх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умовах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активізують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веб-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комунікації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клієнтами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посилюють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заходи з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здоров’я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персоналу,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переводять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частину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працівників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надомну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працю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Зроблено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висновок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поточна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криза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призведе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трансформації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банківського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бізнесу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користь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дистанційного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обслуговування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безготівкових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операцій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17A40" w:rsidRPr="00917A40" w:rsidRDefault="00917A40" w:rsidP="00917A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7A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Ключові</w:t>
      </w:r>
      <w:proofErr w:type="spellEnd"/>
      <w:r w:rsidRPr="00917A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17A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слова:</w:t>
      </w:r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банки</w:t>
      </w:r>
      <w:proofErr w:type="spellEnd"/>
      <w:proofErr w:type="gram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банківський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сектор,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коронавірусна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інфекція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криза,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антикризові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заходи,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центральні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банки,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проблемні</w:t>
      </w:r>
      <w:proofErr w:type="spellEnd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A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кредити</w:t>
      </w:r>
      <w:proofErr w:type="spellEnd"/>
    </w:p>
    <w:p w:rsidR="00917A40" w:rsidRPr="00917A40" w:rsidRDefault="00917A40" w:rsidP="00917A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JEL: E50, E52, E58, G21</w:t>
      </w:r>
    </w:p>
    <w:p w:rsidR="00917A40" w:rsidRPr="00C5401A" w:rsidRDefault="00917A40" w:rsidP="00917A40">
      <w:pPr>
        <w:rPr>
          <w:rFonts w:ascii="Arial" w:hAnsi="Arial" w:cs="Arial"/>
          <w:sz w:val="24"/>
          <w:szCs w:val="24"/>
        </w:rPr>
      </w:pPr>
    </w:p>
    <w:p w:rsidR="00917A40" w:rsidRPr="00C5401A" w:rsidRDefault="00C5401A" w:rsidP="00917A40">
      <w:pPr>
        <w:rPr>
          <w:rFonts w:ascii="Arial" w:hAnsi="Arial" w:cs="Arial"/>
          <w:sz w:val="24"/>
          <w:szCs w:val="24"/>
        </w:rPr>
      </w:pPr>
      <w:r w:rsidRPr="00C5401A">
        <w:rPr>
          <w:rFonts w:ascii="Arial" w:hAnsi="Arial" w:cs="Arial"/>
          <w:b/>
          <w:bCs/>
          <w:sz w:val="24"/>
          <w:szCs w:val="24"/>
        </w:rPr>
        <w:t>БЮДЖЕТНА ПОЛІТИКА</w:t>
      </w:r>
    </w:p>
    <w:p w:rsidR="00917A40" w:rsidRPr="00C5401A" w:rsidRDefault="00C5401A" w:rsidP="00917A40">
      <w:pPr>
        <w:rPr>
          <w:rFonts w:ascii="Arial" w:hAnsi="Arial" w:cs="Arial"/>
          <w:sz w:val="24"/>
          <w:szCs w:val="24"/>
        </w:rPr>
      </w:pPr>
      <w:proofErr w:type="spellStart"/>
      <w:r w:rsidRPr="00C5401A">
        <w:rPr>
          <w:rFonts w:ascii="Arial" w:hAnsi="Arial" w:cs="Arial"/>
          <w:sz w:val="24"/>
          <w:szCs w:val="24"/>
        </w:rPr>
        <w:t>Сторонянська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 І. З. 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Ризики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бюджетного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вирівнювання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умовах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адміністративно-фінансової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децентралізації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 / І. З. </w:t>
      </w:r>
      <w:proofErr w:type="spellStart"/>
      <w:r w:rsidRPr="00C5401A">
        <w:rPr>
          <w:rFonts w:ascii="Arial" w:hAnsi="Arial" w:cs="Arial"/>
          <w:sz w:val="24"/>
          <w:szCs w:val="24"/>
        </w:rPr>
        <w:t>Сторонянська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, Л. Я. </w:t>
      </w:r>
      <w:proofErr w:type="spellStart"/>
      <w:r w:rsidRPr="00C5401A">
        <w:rPr>
          <w:rFonts w:ascii="Arial" w:hAnsi="Arial" w:cs="Arial"/>
          <w:sz w:val="24"/>
          <w:szCs w:val="24"/>
        </w:rPr>
        <w:t>Беновська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 // Фінанси </w:t>
      </w:r>
      <w:proofErr w:type="spellStart"/>
      <w:r w:rsidRPr="00C5401A">
        <w:rPr>
          <w:rFonts w:ascii="Arial" w:hAnsi="Arial" w:cs="Arial"/>
          <w:sz w:val="24"/>
          <w:szCs w:val="24"/>
        </w:rPr>
        <w:t>України</w:t>
      </w:r>
      <w:proofErr w:type="spellEnd"/>
      <w:r w:rsidRPr="00C5401A">
        <w:rPr>
          <w:rFonts w:ascii="Arial" w:hAnsi="Arial" w:cs="Arial"/>
          <w:sz w:val="24"/>
          <w:szCs w:val="24"/>
        </w:rPr>
        <w:t>. - 2020. - № 3. - C. 80-93</w:t>
      </w:r>
    </w:p>
    <w:p w:rsidR="00C5401A" w:rsidRPr="00C5401A" w:rsidRDefault="00C5401A" w:rsidP="00C54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01A">
        <w:rPr>
          <w:rFonts w:ascii="Arial" w:hAnsi="Arial" w:cs="Arial"/>
          <w:i/>
          <w:iCs/>
          <w:sz w:val="24"/>
          <w:szCs w:val="24"/>
        </w:rPr>
        <w:t xml:space="preserve">У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зв’язку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реалізацією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в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Україні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адміністративно-територіальної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реформи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та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децентралізацією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влади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змінилася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система бюджетного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вирівнювання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. З метою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зміцнення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фінансової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бази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місцевих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бюджетів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здійснено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перехід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від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вирівнювання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видатками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до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вирівнювання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за доходами. У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статті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ідентифіковано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ризики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системи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бюджетного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вирівнювання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в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умовах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адміністративно-фінансової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децентралізації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в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Україні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саме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порушення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соціальної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справедливості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в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регіональному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вимірі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посилення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диференціації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розвитку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столиці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та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регіонів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міських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і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сільських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об’єднаних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та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необ’єднаних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територіальних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громад;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зниження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рівня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самостійності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органів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місцевого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самоврядування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в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прийнятті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рішень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щодо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напрямів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використання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отриманих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із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державного бюджету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трансфертів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і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вирішення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питань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локального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значення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політизації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процесу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бюджетного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регулювання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й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збільшення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лобістської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складової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розподілу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міжбюджетних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трансфертів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Окреслено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напрями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нівелювання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ризиків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бюджетного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регулювання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дотриманням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принципу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територіальної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справедливості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при горизонтальному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перерозподілі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фінансових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ресурсів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удосконалення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механізму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розрахунку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індексу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податкоспроможності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розвитку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територій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>.</w:t>
      </w:r>
    </w:p>
    <w:p w:rsidR="00C5401A" w:rsidRPr="00C5401A" w:rsidRDefault="00C5401A" w:rsidP="00C54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401A">
        <w:rPr>
          <w:rFonts w:ascii="Arial" w:hAnsi="Arial" w:cs="Arial"/>
          <w:sz w:val="24"/>
          <w:szCs w:val="24"/>
        </w:rPr>
        <w:t>Ключові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5401A">
        <w:rPr>
          <w:rFonts w:ascii="Arial" w:hAnsi="Arial" w:cs="Arial"/>
          <w:sz w:val="24"/>
          <w:szCs w:val="24"/>
        </w:rPr>
        <w:t>слова:</w:t>
      </w:r>
      <w:r w:rsidRPr="00C5401A">
        <w:rPr>
          <w:rFonts w:ascii="Arial" w:hAnsi="Arial" w:cs="Arial"/>
          <w:i/>
          <w:iCs/>
          <w:sz w:val="24"/>
          <w:szCs w:val="24"/>
        </w:rPr>
        <w:t>ризики</w:t>
      </w:r>
      <w:proofErr w:type="spellEnd"/>
      <w:proofErr w:type="gram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бюджетне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вирівнювання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адміністративно-фінансова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децентралізація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територіальні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громади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>, бюджет</w:t>
      </w:r>
    </w:p>
    <w:p w:rsidR="00C5401A" w:rsidRPr="00C5401A" w:rsidRDefault="00C5401A" w:rsidP="00C54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01A">
        <w:rPr>
          <w:rFonts w:ascii="Arial" w:hAnsi="Arial" w:cs="Arial"/>
          <w:sz w:val="24"/>
          <w:szCs w:val="24"/>
        </w:rPr>
        <w:t>JEL: H62, H77, G18</w:t>
      </w:r>
    </w:p>
    <w:p w:rsidR="00C5401A" w:rsidRPr="00C5401A" w:rsidRDefault="00C5401A" w:rsidP="00917A40">
      <w:pPr>
        <w:rPr>
          <w:rFonts w:ascii="Arial" w:hAnsi="Arial" w:cs="Arial"/>
          <w:sz w:val="24"/>
          <w:szCs w:val="24"/>
        </w:rPr>
      </w:pPr>
    </w:p>
    <w:p w:rsidR="00C5401A" w:rsidRPr="00C5401A" w:rsidRDefault="00C5401A" w:rsidP="00C5401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401A">
        <w:rPr>
          <w:rFonts w:ascii="Arial" w:hAnsi="Arial" w:cs="Arial"/>
          <w:sz w:val="24"/>
          <w:szCs w:val="24"/>
        </w:rPr>
        <w:t>Малиняк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 Б. С. 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Бюджетне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планування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і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пріоритети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розвитку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громад: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інструменти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гармонізації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та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проблеми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їх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застосування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 / Б. С. </w:t>
      </w:r>
      <w:proofErr w:type="spellStart"/>
      <w:r w:rsidRPr="00C5401A">
        <w:rPr>
          <w:rFonts w:ascii="Arial" w:hAnsi="Arial" w:cs="Arial"/>
          <w:sz w:val="24"/>
          <w:szCs w:val="24"/>
        </w:rPr>
        <w:t>Малиняк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 // Фінанси </w:t>
      </w:r>
      <w:proofErr w:type="spellStart"/>
      <w:r w:rsidRPr="00C5401A">
        <w:rPr>
          <w:rFonts w:ascii="Arial" w:hAnsi="Arial" w:cs="Arial"/>
          <w:sz w:val="24"/>
          <w:szCs w:val="24"/>
        </w:rPr>
        <w:t>України</w:t>
      </w:r>
      <w:proofErr w:type="spellEnd"/>
      <w:r w:rsidRPr="00C5401A">
        <w:rPr>
          <w:rFonts w:ascii="Arial" w:hAnsi="Arial" w:cs="Arial"/>
          <w:sz w:val="24"/>
          <w:szCs w:val="24"/>
        </w:rPr>
        <w:t>. - 2020. - № 3. - C. 94-111.</w:t>
      </w:r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 результатами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опрацювання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теоретичних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досліджень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функціонування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бюджетного менеджменту доведено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необхідність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узгодження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бюджетної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плануванням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громад, 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можливі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інструменти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об’єднано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дві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першу</w:t>
      </w:r>
      <w:proofErr w:type="gram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включено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механізми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узгодження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визначеними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пріоритетами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рівні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загалом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 в другу –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інструментарій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гармонізації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відповідних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параметрів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рівні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розпорядників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установ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).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Розглянуто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проблематику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застосування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кожної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інструментів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З’ясовано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ефективному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узгодженню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параметрів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цілями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рівні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перешкоджають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інституційна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неврегульованість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обмеженість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досвіду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середньострокового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низька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якість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програмних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частині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фінансових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параметрів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нерозвиненість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методології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прогнозування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ключових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показників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місцевих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Встановлено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перелічені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проблеми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спричинені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недосконалістю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механізму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узгодження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цілей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завдань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показників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відповідними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параметрами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програмних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Ключові</w:t>
      </w:r>
      <w:proofErr w:type="spellEnd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540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слова:</w:t>
      </w:r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місцевий</w:t>
      </w:r>
      <w:proofErr w:type="spellEnd"/>
      <w:proofErr w:type="gram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бюджет, прогноз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бюджету,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стратегія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програма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соціально-економічного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бюджетне</w:t>
      </w:r>
      <w:proofErr w:type="spellEnd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401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</w:p>
    <w:p w:rsidR="00C5401A" w:rsidRPr="00C5401A" w:rsidRDefault="00C5401A" w:rsidP="00C540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JEL: H70, R51</w:t>
      </w:r>
    </w:p>
    <w:p w:rsidR="00C5401A" w:rsidRPr="00C5401A" w:rsidRDefault="00C5401A" w:rsidP="00917A40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401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РИНОК ФІНАНСОВИХ ПОСЛУГ</w:t>
      </w:r>
    </w:p>
    <w:p w:rsidR="00C5401A" w:rsidRPr="00C5401A" w:rsidRDefault="00C5401A" w:rsidP="00C5401A">
      <w:pPr>
        <w:jc w:val="both"/>
        <w:rPr>
          <w:rFonts w:ascii="Arial" w:hAnsi="Arial" w:cs="Arial"/>
          <w:sz w:val="24"/>
          <w:szCs w:val="24"/>
        </w:rPr>
      </w:pPr>
      <w:r w:rsidRPr="00C5401A">
        <w:rPr>
          <w:rFonts w:ascii="Arial" w:hAnsi="Arial" w:cs="Arial"/>
          <w:sz w:val="24"/>
          <w:szCs w:val="24"/>
        </w:rPr>
        <w:t>Дмитренко Т. Л. 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Особливості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регулювання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операцій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із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віртуальними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активами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щодо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протидії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легалізації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доходів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отриманих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b/>
          <w:bCs/>
          <w:sz w:val="24"/>
          <w:szCs w:val="24"/>
        </w:rPr>
        <w:t>злочинним</w:t>
      </w:r>
      <w:proofErr w:type="spellEnd"/>
      <w:r w:rsidRPr="00C5401A">
        <w:rPr>
          <w:rFonts w:ascii="Arial" w:hAnsi="Arial" w:cs="Arial"/>
          <w:b/>
          <w:bCs/>
          <w:sz w:val="24"/>
          <w:szCs w:val="24"/>
        </w:rPr>
        <w:t xml:space="preserve"> шляхом</w:t>
      </w:r>
      <w:r w:rsidRPr="00C5401A">
        <w:rPr>
          <w:rFonts w:ascii="Arial" w:hAnsi="Arial" w:cs="Arial"/>
          <w:sz w:val="24"/>
          <w:szCs w:val="24"/>
        </w:rPr>
        <w:t xml:space="preserve"> / Т. Л. Дмитренко // Фінанси </w:t>
      </w:r>
      <w:proofErr w:type="spellStart"/>
      <w:r w:rsidRPr="00C5401A">
        <w:rPr>
          <w:rFonts w:ascii="Arial" w:hAnsi="Arial" w:cs="Arial"/>
          <w:sz w:val="24"/>
          <w:szCs w:val="24"/>
        </w:rPr>
        <w:t>України</w:t>
      </w:r>
      <w:proofErr w:type="spellEnd"/>
      <w:r w:rsidRPr="00C5401A">
        <w:rPr>
          <w:rFonts w:ascii="Arial" w:hAnsi="Arial" w:cs="Arial"/>
          <w:sz w:val="24"/>
          <w:szCs w:val="24"/>
        </w:rPr>
        <w:t>. - 2020. - № 3. - C. 112-126.</w:t>
      </w:r>
    </w:p>
    <w:p w:rsidR="00C5401A" w:rsidRPr="00C5401A" w:rsidRDefault="00C5401A" w:rsidP="00C5401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Статтю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присвячено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особливостям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запровадження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оновлених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рекомендацій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FATF для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забезпечення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реалізації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положень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міжнародних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стандартів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щодо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регулювання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операцій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із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віртуальними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активами та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діяльності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постачальників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послуг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із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віртуальними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активами.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Проаналізовано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Керівництво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FATF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щодо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ризик-орієнтованого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підходу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до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обігу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віртуальних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активів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і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діяльності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провайдерів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відповідних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послуг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зміни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внесені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до Закону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України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“Про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запобігання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та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протидію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легалізації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відмиванню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доходів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одержаних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злочинним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шляхом,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фінансуванню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тероризму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та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фінансуванню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розповсюдження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зброї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масового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знищення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”.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Наголошено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на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необхідності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усвідомлення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урядами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країн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державними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наглядовими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та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правоохоронними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органами,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підприємствами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залученими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до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діяльності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віртуальними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активами,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серйозності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ризиків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відмивання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коштів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що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пов’язані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їхньою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діяльністю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також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формування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законодавчої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бази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щодо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регулювання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крипторинку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і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взаємодії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на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міжнародному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рівні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. Наведено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приклади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індикаторів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ризику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 акцентом на факторах,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що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будуть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ускладнювати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проведення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операцій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чи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перешкоджати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провайдерам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послуг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із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віртуальними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активами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ідентифікувати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клієнтів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Особливу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увагу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приділено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заходам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зменшення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загрози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використання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таких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активів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у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тіньовій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економіці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Надано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рекомендації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щодо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розвитку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транспарентного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крипторинку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й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цифрових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технологій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загалом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>.</w:t>
      </w:r>
    </w:p>
    <w:p w:rsidR="00C5401A" w:rsidRPr="00C5401A" w:rsidRDefault="00C5401A" w:rsidP="00C5401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401A">
        <w:rPr>
          <w:rFonts w:ascii="Arial" w:hAnsi="Arial" w:cs="Arial"/>
          <w:sz w:val="24"/>
          <w:szCs w:val="24"/>
        </w:rPr>
        <w:t>Ключові</w:t>
      </w:r>
      <w:proofErr w:type="spellEnd"/>
      <w:r w:rsidRPr="00C540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5401A">
        <w:rPr>
          <w:rFonts w:ascii="Arial" w:hAnsi="Arial" w:cs="Arial"/>
          <w:sz w:val="24"/>
          <w:szCs w:val="24"/>
        </w:rPr>
        <w:t>слова:</w:t>
      </w:r>
      <w:r w:rsidRPr="00C5401A">
        <w:rPr>
          <w:rFonts w:ascii="Arial" w:hAnsi="Arial" w:cs="Arial"/>
          <w:i/>
          <w:iCs/>
          <w:sz w:val="24"/>
          <w:szCs w:val="24"/>
        </w:rPr>
        <w:t>віртуальні</w:t>
      </w:r>
      <w:proofErr w:type="spellEnd"/>
      <w:proofErr w:type="gram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активи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постачальники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послуг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із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віртуальними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активами,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протидія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відмиванню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доходів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одержаних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злочинним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шляхом,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ризик-орієнтований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підхід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фіатні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валюти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віртуальний</w:t>
      </w:r>
      <w:proofErr w:type="spellEnd"/>
      <w:r w:rsidRPr="00C5401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401A">
        <w:rPr>
          <w:rFonts w:ascii="Arial" w:hAnsi="Arial" w:cs="Arial"/>
          <w:i/>
          <w:iCs/>
          <w:sz w:val="24"/>
          <w:szCs w:val="24"/>
        </w:rPr>
        <w:t>гаманець</w:t>
      </w:r>
      <w:proofErr w:type="spellEnd"/>
    </w:p>
    <w:p w:rsidR="00C5401A" w:rsidRPr="00C5401A" w:rsidRDefault="00C5401A" w:rsidP="00C5401A">
      <w:pPr>
        <w:jc w:val="both"/>
        <w:rPr>
          <w:rFonts w:ascii="Arial" w:hAnsi="Arial" w:cs="Arial"/>
          <w:sz w:val="24"/>
          <w:szCs w:val="24"/>
        </w:rPr>
      </w:pPr>
      <w:r w:rsidRPr="00C5401A">
        <w:rPr>
          <w:rFonts w:ascii="Arial" w:hAnsi="Arial" w:cs="Arial"/>
          <w:sz w:val="24"/>
          <w:szCs w:val="24"/>
        </w:rPr>
        <w:t>JEL: G14, G18, F65</w:t>
      </w:r>
    </w:p>
    <w:p w:rsidR="00C5401A" w:rsidRPr="00C5401A" w:rsidRDefault="00C5401A" w:rsidP="00C5401A">
      <w:pPr>
        <w:jc w:val="both"/>
        <w:rPr>
          <w:rFonts w:ascii="Arial" w:hAnsi="Arial" w:cs="Arial"/>
          <w:sz w:val="24"/>
          <w:szCs w:val="24"/>
        </w:rPr>
      </w:pPr>
    </w:p>
    <w:sectPr w:rsidR="00C5401A" w:rsidRPr="00C5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8"/>
    <w:rsid w:val="00012259"/>
    <w:rsid w:val="00917A40"/>
    <w:rsid w:val="00B86BA8"/>
    <w:rsid w:val="00C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E789"/>
  <w15:chartTrackingRefBased/>
  <w15:docId w15:val="{7888F91A-32B6-43B7-A979-9C821B4F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2020-05-04T09:39:00Z</dcterms:created>
  <dcterms:modified xsi:type="dcterms:W3CDTF">2020-05-04T09:56:00Z</dcterms:modified>
</cp:coreProperties>
</file>