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7208"/>
        <w:gridCol w:w="1138"/>
      </w:tblGrid>
      <w:tr w:rsidR="005B0398" w:rsidRPr="005B0398" w:rsidTr="005B039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98" w:rsidRPr="005B0398" w:rsidRDefault="005B0398" w:rsidP="005B0398">
            <w:pPr>
              <w:spacing w:before="375"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</w:pPr>
            <w:r w:rsidRPr="005B0398"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  <w:t>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98" w:rsidRPr="005B0398" w:rsidRDefault="005B0398" w:rsidP="005B0398">
            <w:pPr>
              <w:spacing w:before="375"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</w:pPr>
            <w:r w:rsidRPr="005B0398"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  <w:t>ТЕХНІЧНА ЕЛЕКТРОДИНАМІКА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98" w:rsidRPr="005B0398" w:rsidRDefault="005B0398" w:rsidP="005B0398">
            <w:pPr>
              <w:spacing w:before="375"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</w:pPr>
            <w:r w:rsidRPr="005B0398">
              <w:rPr>
                <w:rFonts w:ascii="Arial" w:eastAsia="Times New Roman" w:hAnsi="Arial" w:cs="Arial"/>
                <w:b/>
                <w:bCs/>
                <w:color w:val="135CAE"/>
                <w:lang w:eastAsia="ru-RU"/>
              </w:rPr>
              <w:t>2020</w:t>
            </w:r>
          </w:p>
        </w:tc>
      </w:tr>
    </w:tbl>
    <w:p w:rsidR="005B0398" w:rsidRPr="005B0398" w:rsidRDefault="005B0398" w:rsidP="005B03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0398">
        <w:rPr>
          <w:rFonts w:ascii="Arial" w:eastAsia="Times New Roman" w:hAnsi="Arial" w:cs="Arial"/>
          <w:lang w:eastAsia="ru-RU"/>
        </w:rPr>
        <w:pict>
          <v:rect id="_x0000_i1032" style="width:467.75pt;height:3.75pt" o:hrstd="t" o:hrnoshade="t" o:hr="t" fillcolor="#333" stroked="f"/>
        </w:pic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33333"/>
          <w:lang w:val="en-US"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Issue DOI: </w:t>
      </w:r>
      <w:hyperlink r:id="rId4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val="en-US" w:eastAsia="ru-RU"/>
          </w:rPr>
          <w:t>https://doi.org/10.15407/techned2020.01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ЗМІСТ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ТЕОРЕТИЧНА ЕЛЕКТРОТЕХНІКА ТА ЕЛЕКТРОФІЗИКА</w:t>
      </w:r>
    </w:p>
    <w:p w:rsid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bookmarkStart w:id="0" w:name="_GoBack"/>
      <w:proofErr w:type="spellEnd"/>
      <w:r w:rsidRPr="005B0398">
        <w:rPr>
          <w:rFonts w:ascii="Arial" w:eastAsia="Times New Roman" w:hAnsi="Arial" w:cs="Arial"/>
          <w:b/>
          <w:bCs/>
          <w:color w:val="0070C0"/>
          <w:lang w:eastAsia="ru-RU"/>
        </w:rPr>
        <w:t>:</w:t>
      </w:r>
      <w:r w:rsidRPr="005B0398">
        <w:rPr>
          <w:rFonts w:ascii="Arial" w:eastAsia="Times New Roman" w:hAnsi="Arial" w:cs="Arial"/>
          <w:b/>
          <w:color w:val="0070C0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Математична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модель для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зони захисту у разі довільної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конфігурації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розташування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стрижньових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блискавковідводів</w:t>
      </w:r>
      <w:bookmarkEnd w:id="0"/>
      <w:proofErr w:type="spellEnd"/>
    </w:p>
    <w:p w:rsid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КОЛІУШКО Д.Г., ІСТОМІН О.Є., РУДЕНКО С.С.</w:t>
      </w:r>
    </w:p>
    <w:p w:rsid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3–9, 2020  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5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https://doi.org/10.15407/techned2020.01.003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Метою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роботи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аналіз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основних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принципів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побудови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зони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складної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блискавковідводів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методом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сфери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котиться,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наразі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є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основним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галузі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блискавкозахисту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відповідає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вимогам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сучасних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європейських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норм.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Вирішено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задачу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мінімальної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кількості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блискавковідводів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необхідних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розрахунку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складної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поверхні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зони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їх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довільної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висоти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розташуванні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Вперше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Україні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розроблено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математичну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модель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побудови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такої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зони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законів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стереометрії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Перевірено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роботу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цієї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моделі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прикладі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електричної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підстанції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110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із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застосуванням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розробленої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комп’ю-терної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програми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реальним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розташуванням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блискавковідводів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різної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висоти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Результатом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роботи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цієї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програми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тривимірне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відображення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зони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можливістю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візуального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аналізу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захищеності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об’єктів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прямого удару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із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заданою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імовірністю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Цінність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роботи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полягає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можливості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практичної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реалізації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сфери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котиться,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енергооб’єктів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України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прямого удару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блискавки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відповідно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сучасного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стандарту EN 62305.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12, рис. 5.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метод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сфери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котиться,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стрижньовий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блискавковідвід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зона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захисту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енергооб’єкт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підстанція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математична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модель.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ПЕРЕТВОРЕННЯ ПАРАМЕТРІВ ЕЛЕКТРИЧНОЇ ЕНЕРГІЇ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r w:rsidRPr="005B0398">
        <w:rPr>
          <w:rFonts w:ascii="Arial" w:eastAsia="Times New Roman" w:hAnsi="Arial" w:cs="Arial"/>
          <w:b/>
          <w:lang w:eastAsia="ru-RU"/>
        </w:rPr>
        <w:t>Импульсный резонансный преобразователь постоянного напряжения с дозированным отбором и передачей энергии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ВОЛКОВ И.В., ПОДОЛЬНЫЙ С.В.</w:t>
      </w:r>
    </w:p>
    <w:p w:rsidR="00883533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10–16, 2020  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6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https://doi.org/10.15407/techned2020.01.010</w:t>
        </w:r>
      </w:hyperlink>
    </w:p>
    <w:p w:rsidR="005B0398" w:rsidRPr="005B0398" w:rsidRDefault="005B0398" w:rsidP="005B03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B0398">
        <w:rPr>
          <w:rStyle w:val="a4"/>
          <w:rFonts w:ascii="Arial" w:hAnsi="Arial" w:cs="Arial"/>
          <w:color w:val="333333"/>
          <w:sz w:val="22"/>
          <w:szCs w:val="22"/>
        </w:rPr>
        <w:t xml:space="preserve">Описан новый импульсный резонансный преобразователь </w:t>
      </w:r>
      <w:proofErr w:type="gramStart"/>
      <w:r w:rsidRPr="005B0398">
        <w:rPr>
          <w:rStyle w:val="a4"/>
          <w:rFonts w:ascii="Arial" w:hAnsi="Arial" w:cs="Arial"/>
          <w:color w:val="333333"/>
          <w:sz w:val="22"/>
          <w:szCs w:val="22"/>
        </w:rPr>
        <w:t>напряжения</w:t>
      </w:r>
      <w:proofErr w:type="gramEnd"/>
      <w:r w:rsidRPr="005B0398">
        <w:rPr>
          <w:rStyle w:val="a4"/>
          <w:rFonts w:ascii="Arial" w:hAnsi="Arial" w:cs="Arial"/>
          <w:color w:val="333333"/>
          <w:sz w:val="22"/>
          <w:szCs w:val="22"/>
        </w:rPr>
        <w:t xml:space="preserve"> понижающего/повышающего типа с дозированным отбором энергии из сети постоянного (выпрямленного) тока и дозированной ее передачей в нагрузку. Исследованы электромагнитные процессы во входном и выходном контурах преобразователя с учетом потерь энергии в его транзисторах, диодах и электромагнитных элементах. Найдены зависимости между параметрами, при которых обеспечивается его работоспособность с минимальными статическими и динамическими потерями. Предложена методика его расчета, ориентированная на достижение максимального КПД. </w:t>
      </w:r>
      <w:r w:rsidRPr="005B0398">
        <w:rPr>
          <w:rFonts w:ascii="Arial" w:hAnsi="Arial" w:cs="Arial"/>
          <w:color w:val="333333"/>
          <w:sz w:val="22"/>
          <w:szCs w:val="22"/>
        </w:rPr>
        <w:t>Библ. 6, рис. 7.</w:t>
      </w:r>
    </w:p>
    <w:p w:rsidR="005B0398" w:rsidRPr="005B0398" w:rsidRDefault="005B0398" w:rsidP="005B03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B0398">
        <w:rPr>
          <w:rStyle w:val="a4"/>
          <w:rFonts w:ascii="Arial" w:hAnsi="Arial" w:cs="Arial"/>
          <w:b/>
          <w:bCs/>
          <w:color w:val="333333"/>
          <w:sz w:val="22"/>
          <w:szCs w:val="22"/>
        </w:rPr>
        <w:t>Ключевые слова</w:t>
      </w:r>
      <w:r w:rsidRPr="005B0398">
        <w:rPr>
          <w:rFonts w:ascii="Arial" w:hAnsi="Arial" w:cs="Arial"/>
          <w:color w:val="333333"/>
          <w:sz w:val="22"/>
          <w:szCs w:val="22"/>
        </w:rPr>
        <w:t>: резонансный преобразователь, конвертор, вторичное электропитание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ЕЛЕКТРОМЕХАНІЧНЕ ПЕРЕТВОРЕННЯ ЕНЕРГІЇ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Імітаційна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модель та алгоритм керування автономною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гідровітровою</w:t>
      </w:r>
      <w:proofErr w:type="spellEnd"/>
      <w:r w:rsidRPr="005B0398">
        <w:rPr>
          <w:rFonts w:ascii="Arial" w:eastAsia="Times New Roman" w:hAnsi="Arial" w:cs="Arial"/>
          <w:b/>
          <w:color w:val="0070C0"/>
          <w:lang w:eastAsia="ru-RU"/>
        </w:rPr>
        <w:t xml:space="preserve"> системою </w:t>
      </w:r>
      <w:proofErr w:type="spellStart"/>
      <w:r w:rsidRPr="005B0398">
        <w:rPr>
          <w:rFonts w:ascii="Arial" w:eastAsia="Times New Roman" w:hAnsi="Arial" w:cs="Arial"/>
          <w:b/>
          <w:color w:val="0070C0"/>
          <w:lang w:eastAsia="ru-RU"/>
        </w:rPr>
        <w:t>електроживлення</w:t>
      </w:r>
      <w:proofErr w:type="spellEnd"/>
    </w:p>
    <w:p w:rsidR="00883533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МАЗУРЕНКО Л.І., ВАСИЛІВ К.М., ДЖУРА О.В., КОЦЮРУБА А.В.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17–26, 2020  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DOI: </w:t>
      </w:r>
      <w:hyperlink r:id="rId7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https://doi.org/10.15407/techned2020.01.017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Запропоновано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нову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конфігурацію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трифазної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автономної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гідровітрової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(АГВС), яка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містить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генератор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електромагнітним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збудженням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обертається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регульованою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гідротурбіною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асинхронний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генератор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короткозамкненим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ротором з приводом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нерегульованої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вітротурбіни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компенсуючу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батарею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конденсаторів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регульоване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баластне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навантаження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яке живиться через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активний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випрямляч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Розроблено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алгоритм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дворівневої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стабілізації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струму в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системі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розробленої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імітаційної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моделі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АГВС проведено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математичне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моделювання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електромеханічних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процесів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разі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зміни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потужності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споживачів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постійної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швидкості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вітру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Результати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досліджень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засвідчили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стійку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роботу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сталих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режимах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відпрацювання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заданих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рівнів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струму.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17, рис. 5, табл. 1.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автономна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гідровітрова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система,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синхронний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генератор,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асинхронний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генератор,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активний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випрямляч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баластне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навантаження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регулятор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частоти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color w:val="135CAE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Аналіз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показників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якості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процесів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перетворення енергії в процесі демпфірування електроприводом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коливань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пружної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механічної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передачі</w:t>
      </w:r>
      <w:proofErr w:type="spellEnd"/>
    </w:p>
    <w:p w:rsidR="00883533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ЗАДОРОЖНЯ І.М., ЗАДОРОЖНІЙ М.О.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27–32, 2020  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8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https://doi.org/10.15407/techned2020.01.027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Розглянуто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актуальну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задачу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врахування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параметрів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силової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частини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електроприводів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технологічних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машин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вдосконалення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їх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динамічних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якостей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забезпечить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задану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точність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руху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робочих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механізмів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етапі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проектування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Показано,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процесі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вибору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параметрів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силової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частини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електроприводу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підготовки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етапів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синтезу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параметрів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автоматичного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керування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необхідна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оцінка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процесів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електромеханічного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перетворення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енергії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пружних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механічних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коливань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Акцентовано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увагу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необхідності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оцінки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динамічних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показників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координат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перетворювача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– струму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відхилення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електрорушійної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сили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граничної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міри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демпфірування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пружних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коливань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важливим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умов,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сприяють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реалізації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максимуму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демпфуючої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електроприводу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дають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змогу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обмежити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динамічні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навантаження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оптимізувати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перехідні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процеси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13, рис. 1, табл. 1.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електромеханічна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система,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електропривод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тиристорний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перетворювач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демпфірування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color w:val="135CAE"/>
          <w:lang w:val="en-US"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5B0398">
        <w:rPr>
          <w:rFonts w:ascii="Arial" w:eastAsia="Times New Roman" w:hAnsi="Arial" w:cs="Arial"/>
          <w:color w:val="333333"/>
          <w:lang w:val="en-US" w:eastAsia="ru-RU"/>
        </w:rPr>
        <w:t> </w:t>
      </w:r>
      <w:r w:rsidRPr="005B0398">
        <w:rPr>
          <w:rFonts w:ascii="Arial" w:eastAsia="Times New Roman" w:hAnsi="Arial" w:cs="Arial"/>
          <w:b/>
          <w:color w:val="135CAE"/>
          <w:lang w:val="en-US" w:eastAsia="ru-RU"/>
        </w:rPr>
        <w:t>Efficient operating conditions of induction motors for piston compressors with frequency regulation</w:t>
      </w:r>
    </w:p>
    <w:p w:rsid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5B0398">
        <w:rPr>
          <w:rFonts w:ascii="Arial" w:eastAsia="Times New Roman" w:hAnsi="Arial" w:cs="Arial"/>
          <w:color w:val="333333"/>
          <w:lang w:val="en-US" w:eastAsia="ru-RU"/>
        </w:rPr>
        <w:t> BIBIK O.V., GOLOVAN I.V., POPOVYCH O.M., SHURUB Y.V.</w:t>
      </w:r>
    </w:p>
    <w:p w:rsidR="00883533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5B0398">
        <w:rPr>
          <w:rFonts w:ascii="Arial" w:eastAsia="Times New Roman" w:hAnsi="Arial" w:cs="Arial"/>
          <w:color w:val="333333"/>
          <w:lang w:val="en-US"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val="en-US" w:eastAsia="ru-RU"/>
        </w:rPr>
        <w:t xml:space="preserve"> 1: 33–39, 2020  </w:t>
      </w:r>
    </w:p>
    <w:p w:rsidR="005B0398" w:rsidRPr="00883533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333333"/>
          <w:lang w:val="en-US"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DOI: </w:t>
      </w:r>
      <w:hyperlink r:id="rId9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val="en-US" w:eastAsia="ru-RU"/>
          </w:rPr>
          <w:t>https://doi.org/10.15407/techned2020.01.033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Досліджено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вплив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періодичного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навантаження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пульсації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електромагнітного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моменту й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обертання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ротора,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втрати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коефіцієнт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корисної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частотно-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регульованого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асинхронного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поршневого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одноциліндрового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компресора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застосуванням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імітаційного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моделювання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критерію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інтенсивних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квазісталих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режимів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області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критичного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зниження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ефективності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зміни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частоти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живлення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ступеня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завантаження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16, рис. 7, табл. 2.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асинхронні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двигуни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частотне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регулювання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поршневі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одноциліндрові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компресори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пульсації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коефіцієнт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корисної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дії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color w:val="135CAE"/>
          <w:lang w:val="en-US"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Cs/>
          <w:color w:val="333333"/>
          <w:lang w:val="en-US" w:eastAsia="ru-RU"/>
        </w:rPr>
        <w:t>:</w:t>
      </w:r>
      <w:r w:rsidRPr="005B0398">
        <w:rPr>
          <w:rFonts w:ascii="Arial" w:eastAsia="Times New Roman" w:hAnsi="Arial" w:cs="Arial"/>
          <w:color w:val="333333"/>
          <w:lang w:val="en-US" w:eastAsia="ru-RU"/>
        </w:rPr>
        <w:t> </w:t>
      </w:r>
      <w:r w:rsidRPr="005B0398">
        <w:rPr>
          <w:rFonts w:ascii="Arial" w:eastAsia="Times New Roman" w:hAnsi="Arial" w:cs="Arial"/>
          <w:b/>
          <w:color w:val="135CAE"/>
          <w:lang w:val="en-US" w:eastAsia="ru-RU"/>
        </w:rPr>
        <w:t>Rotor structure with double cage for improved synchronous capability of line-start permanent magnet synchronous motors</w:t>
      </w:r>
    </w:p>
    <w:p w:rsid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5B0398">
        <w:rPr>
          <w:rFonts w:ascii="Arial" w:eastAsia="Times New Roman" w:hAnsi="Arial" w:cs="Arial"/>
          <w:color w:val="333333"/>
          <w:lang w:val="en-US" w:eastAsia="ru-RU"/>
        </w:rPr>
        <w:t> HONGBO QIU, YONG ZHANG, CUNXIANG YANG, RAN Yi.</w:t>
      </w:r>
    </w:p>
    <w:p w:rsid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40–47, 2020  </w:t>
      </w:r>
    </w:p>
    <w:p w:rsidR="005B0398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DOI: </w:t>
      </w:r>
      <w:hyperlink r:id="rId10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https://doi.org/10.15407/techned2020.01.040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Процес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постійними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магнітами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запускання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проблемним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вимагає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вивчення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удосконалення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З метою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покращення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пропонується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ротор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виконувати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подвійною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кліткою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Наведено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фактори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щодо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пускових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характеристик і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спроможності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Вивчено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взаємні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зв’язки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між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характеристиками пуску та синхронною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спроможністю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Базуючися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цьому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порівнюються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аналізуються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характеристики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одноклітковим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двоклітковим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ротором.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мають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ротор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із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двома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клітками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мають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покращену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спроможність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широкому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діапазоні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характеристик.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Розроблено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теоретичні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підходи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підвищення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ефективності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функціонування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синхронних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двигунів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постійними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магнітами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15, рис. 11, табл. 3.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синхронні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двигуни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постійними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магнітами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запускання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метод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кінцевих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елементів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ротор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із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подвійною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кліткою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пускова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характеристика, синхронна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здатність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ЕЛЕКТРОЕНЕРГЕТИЧНІ СИСТЕМИ ТА УСТАНОВКИ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Вдосконалення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методу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місця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однофазного замикання на лініях сигналізації,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централізації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автоблокування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залізниць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СТОГНІЙ Б.С., ГРЕБЧЕНКО М.В., МАКСИМЧУК В.Ф., ПИЛИПЕНКО Ю.В.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48–57, 2020  </w:t>
      </w: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11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https://doi.org/10.15407/techned2020.01.048</w:t>
        </w:r>
      </w:hyperlink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Наведено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подальший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розвиток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місця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замикання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землю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повітряних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лініях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сигналізації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централізації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автоблокування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залізниць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запропонованого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авторами й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заснованого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дистанційному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принципі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Показано,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нестаціонарна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зміна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параметрів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режиму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суттєво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ускладнює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методу, через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точність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не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завжди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задовольняє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вимогам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Узагальнено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отриманий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досвід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об’єднання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методі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одночасно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трьох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алгоритмів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місця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замикання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відповідно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кожної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фази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З метою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підвищення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точності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запропоновано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вдосконалити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рахунок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введення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додаткової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операції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уточнення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вектору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падіння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опорі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фази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місця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пошкодження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Авторами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раніше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доведено,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вхідних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параметрів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необхідно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використовувати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коригованих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перших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гармонік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струмів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визначаються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виміряними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допомогою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трансформаторів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струму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Проведено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експерименти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дають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змогу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оцінити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підвищення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точності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вимірювання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струмів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рахунок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трансформаторів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струму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більш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високого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класу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точності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й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вимірювання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напруги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допомогою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дільників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активних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опорів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Проведено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розрахункові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дослідження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значення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ємностей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включаються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між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кожною фазою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землею для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зменшення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електромагнітного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впливу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лінію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який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виникає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рахунок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близького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розташування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лінії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два проводи-рейка та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контактної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мережі</w:t>
      </w:r>
      <w:proofErr w:type="spellEnd"/>
      <w:r w:rsidRPr="005B0398">
        <w:rPr>
          <w:rFonts w:ascii="Arial" w:eastAsia="Times New Roman" w:hAnsi="Arial" w:cs="Arial"/>
          <w:i/>
          <w:iCs/>
          <w:color w:val="333333"/>
          <w:lang w:eastAsia="ru-RU"/>
        </w:rPr>
        <w:t>.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 8, рис. 2, табл. 4.</w:t>
      </w:r>
    </w:p>
    <w:p w:rsidR="005B0398" w:rsidRPr="005B0398" w:rsidRDefault="005B0398" w:rsidP="005B039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5B03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5B0398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місце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замикання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експериментальні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дослідження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математичне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моделювання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вдосконалення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методу,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точність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>.</w:t>
      </w: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35CAE"/>
          <w:u w:val="single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Визначення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величини резерву активної потужності ТЕС та ГЕС для регулювання частоти та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перетоків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в ОЕС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України</w:t>
      </w:r>
      <w:proofErr w:type="spellEnd"/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ЯНДУЛЬСЬКИЙ О.С., НЕСТЕРКО А.Б., ТРУНІНА Г.О.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58–63, 2020  </w:t>
      </w: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12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https://doi.org/10.15407/techned2020.01.058</w:t>
        </w:r>
      </w:hyperlink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33333"/>
          <w:lang w:eastAsia="ru-RU"/>
        </w:rPr>
      </w:pP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Розглянуто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проблему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забезпечення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належної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якості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первинного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вторинного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регулювання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частоти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потужності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умовах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росту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частки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відновлюваних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джерел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енергії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енергобалансі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ОЕС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України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Розроблено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підхід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критерії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визначення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оптимальної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технологічної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точки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зору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величини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розміщення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резервів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активної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потужності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в ОЕС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України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реконструйованих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нереконструйованих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блоках\агрегатах ТЕС та ГЕС. За результатами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імітаційного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моделювання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режимів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ОЕС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України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у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разі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виникнення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раптових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ймовірних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за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критерієм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N-1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небалансів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активної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lastRenderedPageBreak/>
        <w:t>потужності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визначено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перелік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обґрунтовано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необхідність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залучення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додаткових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блоків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\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агрегатів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електростанцій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до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первинного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вторинного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регулювання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частоти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потужності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в ОЕС </w:t>
      </w: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України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. 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Бібл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>. 10, табл. 1.</w:t>
      </w:r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33333"/>
          <w:lang w:eastAsia="ru-RU"/>
        </w:rPr>
      </w:pPr>
      <w:proofErr w:type="spellStart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>Ключові</w:t>
      </w:r>
      <w:proofErr w:type="spellEnd"/>
      <w:r w:rsidRPr="00883533">
        <w:rPr>
          <w:rFonts w:ascii="Arial" w:eastAsia="Times New Roman" w:hAnsi="Arial" w:cs="Arial"/>
          <w:bCs/>
          <w:i/>
          <w:iCs/>
          <w:color w:val="333333"/>
          <w:lang w:eastAsia="ru-RU"/>
        </w:rPr>
        <w:t xml:space="preserve"> слова</w:t>
      </w:r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: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регулювання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частоти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резерви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активної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потужності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первинне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і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вторинне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регулювання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частоти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відновлювані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джерела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енергії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об’єднана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bCs/>
          <w:color w:val="333333"/>
          <w:lang w:eastAsia="ru-RU"/>
        </w:rPr>
        <w:t>енергосистема</w:t>
      </w:r>
      <w:proofErr w:type="spellEnd"/>
      <w:r w:rsidRPr="00883533"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883533" w:rsidRPr="005B0398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83533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Водень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в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електро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- та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транспортній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енергетиці</w:t>
      </w:r>
      <w:proofErr w:type="spellEnd"/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Автор:</w:t>
      </w:r>
      <w:r w:rsidRPr="005B0398">
        <w:rPr>
          <w:rFonts w:ascii="Arial" w:eastAsia="Times New Roman" w:hAnsi="Arial" w:cs="Arial"/>
          <w:color w:val="333333"/>
          <w:lang w:eastAsia="ru-RU"/>
        </w:rPr>
        <w:t> КАРП І.М.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64–70, 2020  </w:t>
      </w: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13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https://doi.org/10.15407/techned2020.01.064</w:t>
        </w:r>
      </w:hyperlink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Показано,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виробництво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витрачається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більше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ніж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можна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отримати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разі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Мова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йде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виробництво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«зеленого»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виробництво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1 м3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витрачається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від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4 до 5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кВтг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електроенергії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при тому,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ньому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міститься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хімічної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2,9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кВтг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Теплотворна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спроможність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3,3 рази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менша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ніж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метану.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Водень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як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речовина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характеризується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високою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проникаючою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здатністю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транспортування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звичайних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трубах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спричинює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їхню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корозію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окрихчування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Реалізація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цього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процесу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потребує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застосування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спеціальних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матеріалів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трубопроводів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також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спеціального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проектування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компресорів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сенсорів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Водень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має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широкі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межі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вибуховості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велику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швидкість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розповсюдження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факелу,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пов’язано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застосуванням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спеціальних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заходів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безпеки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як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палива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gram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для приводу</w:t>
      </w:r>
      <w:proofErr w:type="gram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маневрових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газових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потужностей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енергосистемі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або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заміщення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рідких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моторних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палив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потребує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електрогенеруючих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потужностей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виробництво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співмірних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із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встановленою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потужністю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всієї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енергосистеми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України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значних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об’ємів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води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вирішення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проблеми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надлишку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кисню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Витрати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електроенергії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отримання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паливних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елементів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досить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значними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і тому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перетворення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знову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електроенергію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явно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недоцільне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Таким чином,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урахуванням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вартості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електроенергії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відновлюваних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джерел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економіки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виробництва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подальшим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його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невигідним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Аналогічний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висновок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можна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зробити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стосовно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транспортування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водню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стисненому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або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зрідженому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стані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Драйвером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водневої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енергетики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є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бажання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запобігання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антропогенному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впливу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зміну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клімату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Велику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кількість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проектів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із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водневої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енергетики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які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сьогодні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запроваджені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Європі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світі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можна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пояснити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значними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коштами,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виділяються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дослідження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цієї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проблеми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впровадженні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таких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проектів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зацікавлені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потужні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компанії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науковці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–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водневі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активісти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. 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>. 9, рис. 1.</w:t>
      </w:r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8353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88353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883533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водень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виробництво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транспортування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зберігання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економічність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>.</w:t>
      </w:r>
    </w:p>
    <w:p w:rsidR="00883533" w:rsidRPr="005B0398" w:rsidRDefault="00883533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</w:t>
      </w:r>
      <w:r w:rsidR="00883533" w:rsidRPr="005B0398">
        <w:rPr>
          <w:rFonts w:ascii="Arial" w:eastAsia="Times New Roman" w:hAnsi="Arial" w:cs="Arial"/>
          <w:b/>
          <w:bCs/>
          <w:color w:val="333333"/>
          <w:lang w:eastAsia="ru-RU"/>
        </w:rPr>
        <w:t>ЕЛЕКТРОТЕХНОЛОГІЧНІ КОМПЛЕКСИ ТА СИСТЕМИ</w:t>
      </w:r>
    </w:p>
    <w:p w:rsid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b/>
          <w:color w:val="333333"/>
          <w:lang w:eastAsia="ru-RU"/>
        </w:rPr>
        <w:t> </w:t>
      </w:r>
      <w:hyperlink r:id="rId14" w:history="1">
        <w:r w:rsidRPr="005B0398">
          <w:rPr>
            <w:rFonts w:ascii="Arial" w:eastAsia="Times New Roman" w:hAnsi="Arial" w:cs="Arial"/>
            <w:b/>
            <w:color w:val="135CAE"/>
            <w:lang w:eastAsia="ru-RU"/>
          </w:rPr>
          <w:t>Energy-efficient control of pump units based on neural-network parameters observer</w:t>
        </w:r>
      </w:hyperlink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BURIAN S.O., KISELYCHNYK O.I., PUSHKAR M.V., RESHETNIK V.S., ZEMLIANUKHINA H.Y.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71–77, 2020  </w:t>
      </w: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15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https://doi.org/10.15407/techned2020.01.071</w:t>
        </w:r>
      </w:hyperlink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базі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штучної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нейронної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мережі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розроблено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який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основі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виміряних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технологічних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координат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напору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турбомеханізму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визначає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продуктивність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насосної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установки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залежності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від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розташування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робочої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точки.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Спроектовано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три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нейронні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мережі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для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трьох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типів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продуктивності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розроблений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досліджено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методом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моделювання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при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різних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варіаціях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збурюючих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дій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таких, як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гідравлічного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опору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мережі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геодезичного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тиску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. Наведено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порівняльний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аналіз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трьох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типів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продуктивності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побудованих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напору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різних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сигналів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системи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при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довільній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зміні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гідравлічного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опору.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Використовуючи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коефіцієнта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корисної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дії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насосної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установки у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додаток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до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результатів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що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були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представлені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раніше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вивчено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ефективність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застосування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оцінювача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продуктивності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побудованого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використанням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різних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датчиків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системах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водопостачання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двома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lastRenderedPageBreak/>
        <w:t>послідовно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з’єднаними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насосними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агрегатами, один з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яких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–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керований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швидкості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інший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–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некерований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та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які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працюють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режимі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наповнення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великого резервуара. 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Бібл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>. 14, рис. 5.</w:t>
      </w:r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8353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Ключові</w:t>
      </w:r>
      <w:proofErr w:type="spellEnd"/>
      <w:r w:rsidRPr="0088353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слова</w:t>
      </w:r>
      <w:r w:rsidRPr="00883533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насосна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 установка,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нейронна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 мережа,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оцінювач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координати</w:t>
      </w:r>
      <w:proofErr w:type="spellEnd"/>
      <w:r w:rsidRPr="00883533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83533">
        <w:rPr>
          <w:rFonts w:ascii="Arial" w:eastAsia="Times New Roman" w:hAnsi="Arial" w:cs="Arial"/>
          <w:color w:val="333333"/>
          <w:lang w:eastAsia="ru-RU"/>
        </w:rPr>
        <w:t>турбомеханізм</w:t>
      </w:r>
      <w:proofErr w:type="spellEnd"/>
    </w:p>
    <w:p w:rsidR="00883533" w:rsidRPr="005B0398" w:rsidRDefault="00883533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Рубрика          </w:t>
      </w:r>
      <w:r w:rsidR="00883533" w:rsidRPr="005B0398">
        <w:rPr>
          <w:rFonts w:ascii="Arial" w:eastAsia="Times New Roman" w:hAnsi="Arial" w:cs="Arial"/>
          <w:b/>
          <w:bCs/>
          <w:color w:val="333333"/>
          <w:lang w:eastAsia="ru-RU"/>
        </w:rPr>
        <w:t>ІНФОРМАЦІЙНО-ВИМІРЮВАЛЬНІ СИСТЕМИ В ЕЛЕКТРОЕНЕРГЕТИЦІ</w:t>
      </w:r>
    </w:p>
    <w:p w:rsidR="00883533" w:rsidRPr="00883533" w:rsidRDefault="005B0398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color w:val="135CAE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Анализ </w:t>
      </w:r>
      <w:proofErr w:type="spellStart"/>
      <w:r w:rsidRPr="005B0398">
        <w:rPr>
          <w:rFonts w:ascii="Arial" w:eastAsia="Times New Roman" w:hAnsi="Arial" w:cs="Arial"/>
          <w:b/>
          <w:color w:val="135CAE"/>
          <w:lang w:eastAsia="ru-RU"/>
        </w:rPr>
        <w:t>импедансной</w:t>
      </w:r>
      <w:proofErr w:type="spellEnd"/>
      <w:r w:rsidRPr="005B0398">
        <w:rPr>
          <w:rFonts w:ascii="Arial" w:eastAsia="Times New Roman" w:hAnsi="Arial" w:cs="Arial"/>
          <w:b/>
          <w:color w:val="135CAE"/>
          <w:lang w:eastAsia="ru-RU"/>
        </w:rPr>
        <w:t xml:space="preserve"> модели двухэлектродной контактной кондуктометрической ячейки</w:t>
      </w:r>
    </w:p>
    <w:p w:rsid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Автори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МИХАЛЬ А.А., МЕЛЕЩУК Д.В.</w:t>
      </w:r>
      <w:r w:rsidRPr="005B0398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78–86, 2020  </w:t>
      </w:r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DOI: </w:t>
      </w:r>
      <w:hyperlink r:id="rId16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https://doi.org/10.15407/techned2020.01.078</w:t>
        </w:r>
      </w:hyperlink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Представлены результаты исследования электрической модели двухэлектродной кондуктометрической ячейки при измерении на переменном токе. Предложенная модель основана на последовательном соединении двух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импедансов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, которые описывают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приэлектродные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процессы и процессы в объеме исследуемого раствора. Она позволяет отдельно оценивать информативные и неинформативные параметры эквивалентных схем замещения. Приведены результаты теоретического исследования частотных свойств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приэлектродного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 xml:space="preserve"> и объемного </w:t>
      </w:r>
      <w:proofErr w:type="spellStart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импедансов</w:t>
      </w:r>
      <w:proofErr w:type="spellEnd"/>
      <w:r w:rsidRPr="00883533">
        <w:rPr>
          <w:rFonts w:ascii="Arial" w:eastAsia="Times New Roman" w:hAnsi="Arial" w:cs="Arial"/>
          <w:i/>
          <w:iCs/>
          <w:color w:val="333333"/>
          <w:lang w:eastAsia="ru-RU"/>
        </w:rPr>
        <w:t>. На их основе предложены упрощения эквивалентной схемы замещения импеданса ячейки для частотных поддиапазонов измерений. Приведены результаты исследования составляющих импеданса ячейки. Определен ряд параметров, которые позволяют экспериментально оценить правомерность упрощений и адекватность рассмотренной электрической модели ячейки. </w:t>
      </w:r>
      <w:r w:rsidRPr="00883533">
        <w:rPr>
          <w:rFonts w:ascii="Arial" w:eastAsia="Times New Roman" w:hAnsi="Arial" w:cs="Arial"/>
          <w:color w:val="333333"/>
          <w:lang w:eastAsia="ru-RU"/>
        </w:rPr>
        <w:t>Библ. 30, рис. 5.</w:t>
      </w:r>
    </w:p>
    <w:p w:rsidR="00883533" w:rsidRPr="00883533" w:rsidRDefault="00883533" w:rsidP="0088353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8353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Ключевые слова</w:t>
      </w:r>
      <w:r w:rsidRPr="00883533">
        <w:rPr>
          <w:rFonts w:ascii="Arial" w:eastAsia="Times New Roman" w:hAnsi="Arial" w:cs="Arial"/>
          <w:color w:val="333333"/>
          <w:lang w:eastAsia="ru-RU"/>
        </w:rPr>
        <w:t>: кондуктометрия, ячейка, электрическая модель, импеданс, электролитическая проводимость.</w:t>
      </w:r>
    </w:p>
    <w:p w:rsidR="00883533" w:rsidRPr="005B0398" w:rsidRDefault="00883533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83533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Назва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hyperlink r:id="rId17" w:tgtFrame="_blank" w:history="1"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 xml:space="preserve">ПАМЯТИ Паука Юрия </w:t>
        </w:r>
        <w:proofErr w:type="spellStart"/>
        <w:r w:rsidRPr="005B0398">
          <w:rPr>
            <w:rFonts w:ascii="Arial" w:eastAsia="Times New Roman" w:hAnsi="Arial" w:cs="Arial"/>
            <w:color w:val="135CAE"/>
            <w:u w:val="single"/>
            <w:lang w:eastAsia="ru-RU"/>
          </w:rPr>
          <w:t>Ивановича</w:t>
        </w:r>
      </w:hyperlink>
      <w:proofErr w:type="spellEnd"/>
    </w:p>
    <w:p w:rsidR="005B0398" w:rsidRPr="005B0398" w:rsidRDefault="005B0398" w:rsidP="005B039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Джерело</w:t>
      </w:r>
      <w:proofErr w:type="spellEnd"/>
      <w:r w:rsidRPr="005B0398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B0398">
        <w:rPr>
          <w:rFonts w:ascii="Arial" w:eastAsia="Times New Roman" w:hAnsi="Arial" w:cs="Arial"/>
          <w:color w:val="333333"/>
          <w:lang w:eastAsia="ru-RU"/>
        </w:rPr>
        <w:t> 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Технічна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B0398">
        <w:rPr>
          <w:rFonts w:ascii="Arial" w:eastAsia="Times New Roman" w:hAnsi="Arial" w:cs="Arial"/>
          <w:color w:val="333333"/>
          <w:lang w:eastAsia="ru-RU"/>
        </w:rPr>
        <w:t>електродинаміка</w:t>
      </w:r>
      <w:proofErr w:type="spellEnd"/>
      <w:r w:rsidRPr="005B0398">
        <w:rPr>
          <w:rFonts w:ascii="Arial" w:eastAsia="Times New Roman" w:hAnsi="Arial" w:cs="Arial"/>
          <w:color w:val="333333"/>
          <w:lang w:eastAsia="ru-RU"/>
        </w:rPr>
        <w:t xml:space="preserve"> 1: 87–87, 2020</w:t>
      </w:r>
    </w:p>
    <w:p w:rsidR="002D2BD8" w:rsidRPr="005B0398" w:rsidRDefault="002D2BD8">
      <w:pPr>
        <w:rPr>
          <w:rFonts w:ascii="Arial" w:hAnsi="Arial" w:cs="Arial"/>
        </w:rPr>
      </w:pPr>
    </w:p>
    <w:sectPr w:rsidR="002D2BD8" w:rsidRPr="005B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A"/>
    <w:rsid w:val="002D2BD8"/>
    <w:rsid w:val="005B0398"/>
    <w:rsid w:val="00883533"/>
    <w:rsid w:val="00C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BBA6"/>
  <w15:chartTrackingRefBased/>
  <w15:docId w15:val="{34E11F03-6F11-4288-A2DA-B5C10565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0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techned2020.01.027" TargetMode="External"/><Relationship Id="rId13" Type="http://schemas.openxmlformats.org/officeDocument/2006/relationships/hyperlink" Target="https://doi.org/10.15407/techned2020.01.06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407/techned2020.01.017" TargetMode="External"/><Relationship Id="rId12" Type="http://schemas.openxmlformats.org/officeDocument/2006/relationships/hyperlink" Target="https://doi.org/10.15407/techned2020.01.058" TargetMode="External"/><Relationship Id="rId17" Type="http://schemas.openxmlformats.org/officeDocument/2006/relationships/hyperlink" Target="http://techned.org.ua/2020_1/st1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5407/techned2020.01.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407/techned2020.01.010" TargetMode="External"/><Relationship Id="rId11" Type="http://schemas.openxmlformats.org/officeDocument/2006/relationships/hyperlink" Target="https://doi.org/10.15407/techned2020.01.048" TargetMode="External"/><Relationship Id="rId5" Type="http://schemas.openxmlformats.org/officeDocument/2006/relationships/hyperlink" Target="https://doi.org/10.15407/techned2020.01.003" TargetMode="External"/><Relationship Id="rId15" Type="http://schemas.openxmlformats.org/officeDocument/2006/relationships/hyperlink" Target="https://doi.org/10.15407/techned2020.01.071" TargetMode="External"/><Relationship Id="rId10" Type="http://schemas.openxmlformats.org/officeDocument/2006/relationships/hyperlink" Target="https://doi.org/10.15407/techned2020.01.04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i.org/10.15407/techned2020.01" TargetMode="External"/><Relationship Id="rId9" Type="http://schemas.openxmlformats.org/officeDocument/2006/relationships/hyperlink" Target="https://doi.org/10.15407/techned2020.01.033" TargetMode="External"/><Relationship Id="rId14" Type="http://schemas.openxmlformats.org/officeDocument/2006/relationships/hyperlink" Target="http://techned.org.ua/index.php?option=com_content&amp;view=article&amp;id=1430&amp;Item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2020-05-04T09:09:00Z</dcterms:created>
  <dcterms:modified xsi:type="dcterms:W3CDTF">2020-05-04T09:26:00Z</dcterms:modified>
</cp:coreProperties>
</file>