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E7" w:rsidRPr="00B61AA8" w:rsidRDefault="00B61AA8" w:rsidP="00B61A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61A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ФІНАНСИ УКРАЇНИ</w:t>
      </w:r>
      <w:r w:rsidRPr="00B61A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168E7" w:rsidRPr="00B61AA8">
        <w:rPr>
          <w:rFonts w:ascii="Arial" w:hAnsi="Arial" w:cs="Arial"/>
          <w:b/>
          <w:sz w:val="24"/>
          <w:szCs w:val="24"/>
          <w:lang w:val="en-US"/>
        </w:rPr>
        <w:t>2020 № 1</w:t>
      </w:r>
    </w:p>
    <w:p w:rsidR="00B61AA8" w:rsidRDefault="00B61AA8" w:rsidP="00B61A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1F2681" w:rsidRDefault="00B61AA8" w:rsidP="00B61A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B61AA8">
        <w:rPr>
          <w:rFonts w:ascii="Arial" w:hAnsi="Arial" w:cs="Arial"/>
          <w:b/>
          <w:sz w:val="24"/>
          <w:szCs w:val="24"/>
          <w:lang w:val="uk-UA"/>
        </w:rPr>
        <w:t>ЗМІСТ</w:t>
      </w:r>
    </w:p>
    <w:p w:rsidR="00B61AA8" w:rsidRPr="00B61AA8" w:rsidRDefault="00B61AA8" w:rsidP="00B61A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1F2681" w:rsidRPr="003B7A1E" w:rsidRDefault="001F2681" w:rsidP="008168E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B7A1E">
        <w:rPr>
          <w:rFonts w:ascii="Arial" w:hAnsi="Arial" w:cs="Arial"/>
          <w:b/>
          <w:i/>
          <w:sz w:val="24"/>
          <w:szCs w:val="24"/>
        </w:rPr>
        <w:t>ЕКОНОМІЧНА БЕЗПЕКА: ТЕОРІЯ, ПРАКТИКА, УПРАВЛІННЯ</w:t>
      </w:r>
    </w:p>
    <w:p w:rsidR="001F2681" w:rsidRPr="003B7A1E" w:rsidRDefault="001F2681" w:rsidP="008168E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168E7" w:rsidRPr="003B7A1E" w:rsidRDefault="008168E7" w:rsidP="003B7A1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Любіч</w:t>
      </w:r>
      <w:proofErr w:type="spellEnd"/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О. О.</w:t>
      </w:r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B7A1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Макроекономічні аспекти фінансової стабільності України</w:t>
      </w:r>
      <w:r w:rsidRPr="003B7A1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/ О. О. </w:t>
      </w:r>
      <w:proofErr w:type="spellStart"/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Любіч</w:t>
      </w:r>
      <w:proofErr w:type="spellEnd"/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, А. О. </w:t>
      </w:r>
      <w:proofErr w:type="spellStart"/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Дробязко</w:t>
      </w:r>
      <w:proofErr w:type="spellEnd"/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// </w:t>
      </w:r>
      <w:bookmarkStart w:id="0" w:name="_GoBack"/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Фінанси України</w:t>
      </w:r>
      <w:bookmarkEnd w:id="0"/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. - 2020. - № 1. - </w:t>
      </w:r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3B7A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. 8-25</w:t>
      </w:r>
    </w:p>
    <w:p w:rsidR="003B7A1E" w:rsidRPr="003B7A1E" w:rsidRDefault="003B7A1E" w:rsidP="003B7A1E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B7A1E">
        <w:rPr>
          <w:rFonts w:ascii="Arial" w:hAnsi="Arial" w:cs="Arial"/>
          <w:iCs/>
          <w:sz w:val="24"/>
          <w:szCs w:val="24"/>
        </w:rPr>
        <w:t>Статтю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присвячено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дослідженню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залежності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монетарних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показників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від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коливань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валютного курсу. У 2019 р.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Україна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вперше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після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набуття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незалежності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стикнулася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з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явищем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значного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зміцнення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обмінного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курсу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гривні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протягом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тривалого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часу (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кількох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місяців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)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тлі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погіршення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показників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промислового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виробництва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зростання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від’ємного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торговельного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сальдо товарами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послугами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що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вимагає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нового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наукового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осмислення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Розглянуто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взаємозв’язки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3B7A1E">
        <w:rPr>
          <w:rFonts w:ascii="Arial" w:hAnsi="Arial" w:cs="Arial"/>
          <w:iCs/>
          <w:sz w:val="24"/>
          <w:szCs w:val="24"/>
        </w:rPr>
        <w:t>у трендах</w:t>
      </w:r>
      <w:proofErr w:type="gramEnd"/>
      <w:r w:rsidRPr="003B7A1E">
        <w:rPr>
          <w:rFonts w:ascii="Arial" w:hAnsi="Arial" w:cs="Arial"/>
          <w:iCs/>
          <w:sz w:val="24"/>
          <w:szCs w:val="24"/>
        </w:rPr>
        <w:t xml:space="preserve"> 20-річного циклу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розвитку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між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основними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інструментами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центрального банку й темпами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монетизації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реального сектору.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Встановлено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що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Україні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умовах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відкритої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малої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сировинної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внаслідок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негативних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процесів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які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можуть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бути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ініційовані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ззовні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зокрема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разі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істотних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коливань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цін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міжнародних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товарних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ринках,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посилюються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загрози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дестабілізації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сталого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розвитку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також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ризики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непередбачуваних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просторово-часових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циклічних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змін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фаз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зростання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стагнації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рецесії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соціально-економічних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систем.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Розкрито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питання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безпечних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(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оптимальних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)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діапазонів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зміни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індикаторів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фінансової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безпеки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інструментів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управління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ними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їх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взаємного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впливу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Автори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розуміють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що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запропоновані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форми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аналізу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динаміки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коливань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зазначених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індикаторів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є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дискусійними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потребують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подальших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наукових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досліджень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3B7A1E">
        <w:rPr>
          <w:rFonts w:ascii="Arial" w:hAnsi="Arial" w:cs="Arial"/>
          <w:iCs/>
          <w:sz w:val="24"/>
          <w:szCs w:val="24"/>
        </w:rPr>
        <w:t>у рамках</w:t>
      </w:r>
      <w:proofErr w:type="gram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розроблення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широкої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стратегії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економічної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безпеки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держави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>.</w:t>
      </w:r>
    </w:p>
    <w:p w:rsidR="003B7A1E" w:rsidRPr="003B7A1E" w:rsidRDefault="003B7A1E" w:rsidP="008168E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F2681" w:rsidRPr="003B7A1E" w:rsidRDefault="001F2681" w:rsidP="008168E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B7A1E">
        <w:rPr>
          <w:rFonts w:ascii="Arial" w:hAnsi="Arial" w:cs="Arial"/>
          <w:b/>
          <w:i/>
          <w:sz w:val="24"/>
          <w:szCs w:val="24"/>
        </w:rPr>
        <w:t>ФІНАНСОВО-ЕКОНОМІЧНЕ РЕГУЛЮВАННЯ</w:t>
      </w:r>
    </w:p>
    <w:p w:rsidR="001F2681" w:rsidRPr="003B7A1E" w:rsidRDefault="001F2681" w:rsidP="00816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A1E" w:rsidRPr="003B7A1E" w:rsidRDefault="003B7A1E" w:rsidP="003B7A1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B7A1E">
        <w:rPr>
          <w:rFonts w:ascii="Arial" w:hAnsi="Arial" w:cs="Arial"/>
          <w:sz w:val="24"/>
          <w:szCs w:val="24"/>
        </w:rPr>
        <w:t>Тимченко О. М. 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Наслідки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податкових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трансформацій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у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країнах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ЄС та США</w:t>
      </w:r>
      <w:r w:rsidRPr="003B7A1E">
        <w:rPr>
          <w:rFonts w:ascii="Arial" w:hAnsi="Arial" w:cs="Arial"/>
          <w:sz w:val="24"/>
          <w:szCs w:val="24"/>
        </w:rPr>
        <w:t xml:space="preserve"> / О. М. Тимченко // </w:t>
      </w:r>
      <w:proofErr w:type="spellStart"/>
      <w:r w:rsidRPr="003B7A1E">
        <w:rPr>
          <w:rFonts w:ascii="Arial" w:hAnsi="Arial" w:cs="Arial"/>
          <w:sz w:val="24"/>
          <w:szCs w:val="24"/>
        </w:rPr>
        <w:t>Фінанси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sz w:val="24"/>
          <w:szCs w:val="24"/>
        </w:rPr>
        <w:t>України</w:t>
      </w:r>
      <w:proofErr w:type="spellEnd"/>
      <w:r w:rsidRPr="003B7A1E">
        <w:rPr>
          <w:rFonts w:ascii="Arial" w:hAnsi="Arial" w:cs="Arial"/>
          <w:sz w:val="24"/>
          <w:szCs w:val="24"/>
        </w:rPr>
        <w:t>. - 2020. - № 1. - C. 26-41.</w:t>
      </w:r>
    </w:p>
    <w:p w:rsidR="003B7A1E" w:rsidRPr="003B7A1E" w:rsidRDefault="003B7A1E" w:rsidP="003B7A1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B7A1E" w:rsidRPr="003B7A1E" w:rsidRDefault="003B7A1E" w:rsidP="003B7A1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3B7A1E">
        <w:rPr>
          <w:rFonts w:ascii="Arial" w:hAnsi="Arial" w:cs="Arial"/>
          <w:iCs/>
          <w:sz w:val="24"/>
          <w:szCs w:val="24"/>
        </w:rPr>
        <w:t>Вивчення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досвіду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країн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Європейського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Союзу і США з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оцінювання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наслідків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податкових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реформ для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є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актуальним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для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України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з точки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зору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методологічних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підходів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інтерпретації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результатів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використання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час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розроб</w:t>
      </w:r>
      <w:r w:rsidRPr="003B7A1E">
        <w:rPr>
          <w:rFonts w:ascii="Arial" w:hAnsi="Arial" w:cs="Arial"/>
          <w:iCs/>
          <w:sz w:val="24"/>
          <w:szCs w:val="24"/>
        </w:rPr>
        <w:softHyphen/>
        <w:t>лення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й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реалізації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податкової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політики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статті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систематизовано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підходи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зарубіжних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учених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до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оцінки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впливу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податкових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трансформацій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ВВП,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зайнятість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інвестиції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доходи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населення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; наведено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її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результати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Висновки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науковців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є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неодно</w:t>
      </w:r>
      <w:r w:rsidRPr="003B7A1E">
        <w:rPr>
          <w:rFonts w:ascii="Arial" w:hAnsi="Arial" w:cs="Arial"/>
          <w:iCs/>
          <w:sz w:val="24"/>
          <w:szCs w:val="24"/>
        </w:rPr>
        <w:softHyphen/>
        <w:t>значними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Більшість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досліджень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свідчить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користь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зменшення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податків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Проте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економічне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зростання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внаслідок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зниження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податкового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навантаження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фіксується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лише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короткостроковій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перспективі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з часом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нівелюється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Найвідчутніше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поведінку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бізнесу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споживачів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зміни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оподаткуванні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впливають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період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їх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очікування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Для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підтримки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бюджету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зменшення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податкового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навантаження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прибуток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із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метою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активізації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бізнесу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супроводжується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компенсаторними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заходами за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рахунок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змін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у акцизному й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екологічному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оподаткуванні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>.</w:t>
      </w:r>
    </w:p>
    <w:p w:rsidR="003B7A1E" w:rsidRPr="003B7A1E" w:rsidRDefault="003B7A1E" w:rsidP="003B7A1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F2681" w:rsidRPr="003B7A1E" w:rsidRDefault="008168E7" w:rsidP="003B7A1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B7A1E">
        <w:rPr>
          <w:rFonts w:ascii="Arial" w:hAnsi="Arial" w:cs="Arial"/>
          <w:sz w:val="24"/>
          <w:szCs w:val="24"/>
        </w:rPr>
        <w:t>Диба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 М. І. 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Інвестиційна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привабливість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надання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програмного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забезпечення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як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послуги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економіці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спільної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участі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 / М. І. </w:t>
      </w:r>
      <w:proofErr w:type="spellStart"/>
      <w:r w:rsidRPr="003B7A1E">
        <w:rPr>
          <w:rFonts w:ascii="Arial" w:hAnsi="Arial" w:cs="Arial"/>
          <w:sz w:val="24"/>
          <w:szCs w:val="24"/>
        </w:rPr>
        <w:t>Диба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, Ю. О. </w:t>
      </w:r>
      <w:proofErr w:type="spellStart"/>
      <w:r w:rsidRPr="003B7A1E">
        <w:rPr>
          <w:rFonts w:ascii="Arial" w:hAnsi="Arial" w:cs="Arial"/>
          <w:sz w:val="24"/>
          <w:szCs w:val="24"/>
        </w:rPr>
        <w:t>Гернего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 // </w:t>
      </w:r>
      <w:proofErr w:type="spellStart"/>
      <w:r w:rsidRPr="003B7A1E">
        <w:rPr>
          <w:rFonts w:ascii="Arial" w:hAnsi="Arial" w:cs="Arial"/>
          <w:sz w:val="24"/>
          <w:szCs w:val="24"/>
        </w:rPr>
        <w:t>Фінанси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sz w:val="24"/>
          <w:szCs w:val="24"/>
        </w:rPr>
        <w:t>України</w:t>
      </w:r>
      <w:proofErr w:type="spellEnd"/>
      <w:r w:rsidRPr="003B7A1E">
        <w:rPr>
          <w:rFonts w:ascii="Arial" w:hAnsi="Arial" w:cs="Arial"/>
          <w:sz w:val="24"/>
          <w:szCs w:val="24"/>
        </w:rPr>
        <w:t>. - 2020. - № 1. - C. 42-57.</w:t>
      </w:r>
    </w:p>
    <w:p w:rsidR="003B7A1E" w:rsidRPr="003B7A1E" w:rsidRDefault="003B7A1E" w:rsidP="003B7A1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F2681" w:rsidRPr="003B7A1E" w:rsidRDefault="008168E7" w:rsidP="008168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7A1E">
        <w:rPr>
          <w:rFonts w:ascii="Arial" w:hAnsi="Arial" w:cs="Arial"/>
          <w:iCs/>
          <w:sz w:val="24"/>
          <w:szCs w:val="24"/>
        </w:rPr>
        <w:t xml:space="preserve">З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огляду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необхідність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побудови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сучасного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бізнесу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основі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інновацій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посиленні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конкуренції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між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інноваційними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підприємствами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постала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потреба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якісному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оновленні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бізнес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-моделей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із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метою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отримання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прибутку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довгостроковій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lastRenderedPageBreak/>
        <w:t>перспективі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забезпечення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конкурентної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переваги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національному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й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міжнародному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ринках.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цьому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контексті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слід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відзначити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поширення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парадигми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розумного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спільного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споживання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статті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здійснено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теоретичне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обґрунтування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сутнісних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характеристик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спільної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участі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(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трактується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окремими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авторами як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економіка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спільного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споживання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або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шерингова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економіка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; англ.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sharing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economy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).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Розглянуто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специфіку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трансформації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суспільних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потреб як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передумови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становлення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такої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Визначено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її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ключові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параметри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які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дають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можливість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простежити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еволюцію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моделей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обміну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рамках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спільної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участі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Проаналізовано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специфіку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результативність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ведення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бізнесу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основі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SaaS-моделі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світовому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ринку.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Досліджено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особливості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і структуру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залучення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інвестицій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SaaS-компаніями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вимірі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глобалізованої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Наведено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приклади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найуспішніших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світовому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ринку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бізнесів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котрі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формують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переваги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програмного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забезпечення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як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послуги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Визначено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критерії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успіху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інвестиційної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привабливості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SaaS-бізнесу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міжнародному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рівні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підставі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аналізу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SaaS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-ринку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Україні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окреслено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його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специфіку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оцінено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потенціал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підвищення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його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інвестиційної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привабливості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>.</w:t>
      </w:r>
    </w:p>
    <w:p w:rsidR="008168E7" w:rsidRPr="003B7A1E" w:rsidRDefault="008168E7" w:rsidP="008168E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F2681" w:rsidRPr="003B7A1E" w:rsidRDefault="001F2681" w:rsidP="008168E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B7A1E">
        <w:rPr>
          <w:rFonts w:ascii="Arial" w:hAnsi="Arial" w:cs="Arial"/>
          <w:b/>
          <w:i/>
          <w:sz w:val="24"/>
          <w:szCs w:val="24"/>
        </w:rPr>
        <w:t>БЮДЖЕТНА ПОЛІТИКА</w:t>
      </w:r>
    </w:p>
    <w:p w:rsidR="001F2681" w:rsidRPr="003B7A1E" w:rsidRDefault="001F2681" w:rsidP="0081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681" w:rsidRPr="003B7A1E" w:rsidRDefault="003B7A1E" w:rsidP="003B7A1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B7A1E">
        <w:rPr>
          <w:rFonts w:ascii="Arial" w:hAnsi="Arial" w:cs="Arial"/>
          <w:sz w:val="24"/>
          <w:szCs w:val="24"/>
          <w:lang w:val="uk-UA"/>
        </w:rPr>
        <w:t>Опарін В. М.</w:t>
      </w:r>
      <w:r w:rsidRPr="003B7A1E">
        <w:rPr>
          <w:rFonts w:ascii="Arial" w:hAnsi="Arial" w:cs="Arial"/>
          <w:sz w:val="24"/>
          <w:szCs w:val="24"/>
        </w:rPr>
        <w:t> </w:t>
      </w:r>
      <w:r w:rsidRPr="003B7A1E">
        <w:rPr>
          <w:rFonts w:ascii="Arial" w:hAnsi="Arial" w:cs="Arial"/>
          <w:b/>
          <w:bCs/>
          <w:sz w:val="24"/>
          <w:szCs w:val="24"/>
          <w:lang w:val="uk-UA"/>
        </w:rPr>
        <w:t>Імперативи бюджетного регулювання в Україні в</w:t>
      </w:r>
      <w:r w:rsidRPr="003B7A1E">
        <w:rPr>
          <w:rFonts w:ascii="Arial" w:hAnsi="Arial" w:cs="Arial"/>
          <w:b/>
          <w:bCs/>
          <w:sz w:val="24"/>
          <w:szCs w:val="24"/>
        </w:rPr>
        <w:t> </w:t>
      </w:r>
      <w:r w:rsidRPr="003B7A1E">
        <w:rPr>
          <w:rFonts w:ascii="Arial" w:hAnsi="Arial" w:cs="Arial"/>
          <w:b/>
          <w:bCs/>
          <w:sz w:val="24"/>
          <w:szCs w:val="24"/>
          <w:lang w:val="uk-UA"/>
        </w:rPr>
        <w:t>умовах фіскальної децентралізації</w:t>
      </w:r>
      <w:r w:rsidRPr="003B7A1E">
        <w:rPr>
          <w:rFonts w:ascii="Arial" w:hAnsi="Arial" w:cs="Arial"/>
          <w:sz w:val="24"/>
          <w:szCs w:val="24"/>
        </w:rPr>
        <w:t> </w:t>
      </w:r>
      <w:r w:rsidRPr="003B7A1E">
        <w:rPr>
          <w:rFonts w:ascii="Arial" w:hAnsi="Arial" w:cs="Arial"/>
          <w:sz w:val="24"/>
          <w:szCs w:val="24"/>
          <w:lang w:val="uk-UA"/>
        </w:rPr>
        <w:t xml:space="preserve">/ В. М. Опарін, Я. А. </w:t>
      </w:r>
      <w:proofErr w:type="spellStart"/>
      <w:r w:rsidRPr="003B7A1E">
        <w:rPr>
          <w:rFonts w:ascii="Arial" w:hAnsi="Arial" w:cs="Arial"/>
          <w:sz w:val="24"/>
          <w:szCs w:val="24"/>
          <w:lang w:val="uk-UA"/>
        </w:rPr>
        <w:t>Сарнецька</w:t>
      </w:r>
      <w:proofErr w:type="spellEnd"/>
      <w:r w:rsidRPr="003B7A1E">
        <w:rPr>
          <w:rFonts w:ascii="Arial" w:hAnsi="Arial" w:cs="Arial"/>
          <w:sz w:val="24"/>
          <w:szCs w:val="24"/>
          <w:lang w:val="uk-UA"/>
        </w:rPr>
        <w:t xml:space="preserve"> // Фінанси України. - 2020. - № 1. - </w:t>
      </w:r>
      <w:r w:rsidRPr="003B7A1E">
        <w:rPr>
          <w:rFonts w:ascii="Arial" w:hAnsi="Arial" w:cs="Arial"/>
          <w:sz w:val="24"/>
          <w:szCs w:val="24"/>
        </w:rPr>
        <w:t>C</w:t>
      </w:r>
      <w:r w:rsidRPr="003B7A1E">
        <w:rPr>
          <w:rFonts w:ascii="Arial" w:hAnsi="Arial" w:cs="Arial"/>
          <w:sz w:val="24"/>
          <w:szCs w:val="24"/>
          <w:lang w:val="uk-UA"/>
        </w:rPr>
        <w:t>. 58-72.</w:t>
      </w:r>
    </w:p>
    <w:p w:rsidR="003B7A1E" w:rsidRPr="003B7A1E" w:rsidRDefault="003B7A1E" w:rsidP="003B7A1E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</w:p>
    <w:p w:rsidR="003B7A1E" w:rsidRPr="003B7A1E" w:rsidRDefault="003B7A1E" w:rsidP="003B7A1E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B7A1E">
        <w:rPr>
          <w:rFonts w:ascii="Arial" w:hAnsi="Arial" w:cs="Arial"/>
          <w:iCs/>
          <w:sz w:val="24"/>
          <w:szCs w:val="24"/>
        </w:rPr>
        <w:t>Стаття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присвячена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проблематиці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формування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збалансованої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всіх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рівнях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бюджетної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системи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України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яка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має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стати основою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усунення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наявних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диспропорцій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регіонального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розвитку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Розв’язання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цих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завдань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значення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котрих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істотно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зростає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умовах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розпочатої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фіскальної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децентралізації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ґрунтується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двох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ключових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напрямах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: 1)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фінансовому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вирівнюванні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проблематика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якого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розглянута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нами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попередній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статті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; 2) бюджетному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регулюванні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сутність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котрого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полягає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територіальному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перерозподілі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доходів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базі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міжбюджетних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трансфертів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або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використання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індивідуальних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нормативів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розщеплення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певних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видів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загальнодержавних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податків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між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рівнями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бюджетної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системи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Метою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статті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є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визначення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основних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імперативів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бюджетного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регулювання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умовах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фіскальної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децентралізації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За результатами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дослідження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сформульовано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чотири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основних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таких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імперативи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: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оптимізація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розмежування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доходів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видатків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між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ланками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бюджетної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системи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забезпечення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ефективності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субвенцій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інвестиції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підвищення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підзвітності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центрального й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місцевих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урядів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збалансування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механізмів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бюджетного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регулювання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Надалі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планується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визначити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обґрунтувати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оптимальні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критерії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розподілу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доходів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видатків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між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ланками бюджету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умовах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фіскальної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децентралізації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>.</w:t>
      </w:r>
    </w:p>
    <w:p w:rsidR="003B7A1E" w:rsidRPr="003B7A1E" w:rsidRDefault="003B7A1E" w:rsidP="003B7A1E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1F2681" w:rsidRPr="003B7A1E" w:rsidRDefault="003B7A1E" w:rsidP="003B7A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B7A1E">
        <w:rPr>
          <w:rFonts w:ascii="Arial" w:hAnsi="Arial" w:cs="Arial"/>
          <w:sz w:val="24"/>
          <w:szCs w:val="24"/>
        </w:rPr>
        <w:t>Возняк Г. В. 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Формування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фінансово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спроможних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територіальних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громад: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ризики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децентралізації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 / Г. В. Возняк, І. В. ЖЕРЕБИЛО // </w:t>
      </w:r>
      <w:proofErr w:type="spellStart"/>
      <w:r w:rsidRPr="003B7A1E">
        <w:rPr>
          <w:rFonts w:ascii="Arial" w:hAnsi="Arial" w:cs="Arial"/>
          <w:sz w:val="24"/>
          <w:szCs w:val="24"/>
        </w:rPr>
        <w:t>Фінанси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sz w:val="24"/>
          <w:szCs w:val="24"/>
        </w:rPr>
        <w:t>України</w:t>
      </w:r>
      <w:proofErr w:type="spellEnd"/>
      <w:r w:rsidRPr="003B7A1E">
        <w:rPr>
          <w:rFonts w:ascii="Arial" w:hAnsi="Arial" w:cs="Arial"/>
          <w:sz w:val="24"/>
          <w:szCs w:val="24"/>
        </w:rPr>
        <w:t>. - 2020. - № 1. - C. 73-82.</w:t>
      </w:r>
    </w:p>
    <w:p w:rsidR="003B7A1E" w:rsidRPr="003B7A1E" w:rsidRDefault="003B7A1E" w:rsidP="003B7A1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3B7A1E" w:rsidRPr="003B7A1E" w:rsidRDefault="003B7A1E" w:rsidP="003B7A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B7A1E">
        <w:rPr>
          <w:rFonts w:ascii="Arial" w:hAnsi="Arial" w:cs="Arial"/>
          <w:iCs/>
          <w:sz w:val="24"/>
          <w:szCs w:val="24"/>
        </w:rPr>
        <w:t>Фінансова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децентралізація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що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є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потужним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механізмом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підвищення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ефективності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використання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бюджетних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коштів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створення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належних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умов для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забезпечення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виконання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місцевими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органами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влади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й органами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місцевого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самоврядування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своїх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повноважень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здатна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продукувати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ризики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формування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фінансово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неспроможних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територіальних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громад.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статті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окреслено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такі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ризики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надано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їх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характеристику.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Підкреслено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що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основними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серед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них є: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мінімізація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ефективності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контролю центральною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владою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бюджетного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процесу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місцевому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lastRenderedPageBreak/>
        <w:t>рівні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ефект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м’яких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бюджетних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обмежень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надмірна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орієнтація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поточне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споживання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ігнорування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критеріями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формування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спроможних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громад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політизація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процесу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об’єднання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останніх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обласними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радами,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дублювання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повноважень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посилення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дисбалансів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форматі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“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ресурси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–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повноваження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”,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поглиблення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фінансово-економічної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диференціації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розвитку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територій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Запропоновано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напрями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нівелювання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зазначених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ризиків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частині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вдосконалення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нормативно-правового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забезпечення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посилення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контролю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діяльності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органів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місцевого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самоврядування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підвищення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прозорості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бюджетного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процесу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тощо</w:t>
      </w:r>
      <w:proofErr w:type="spellEnd"/>
    </w:p>
    <w:p w:rsidR="003B7A1E" w:rsidRPr="003B7A1E" w:rsidRDefault="003B7A1E" w:rsidP="008168E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F2681" w:rsidRPr="003B7A1E" w:rsidRDefault="001F2681" w:rsidP="008168E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B7A1E">
        <w:rPr>
          <w:rFonts w:ascii="Arial" w:hAnsi="Arial" w:cs="Arial"/>
          <w:b/>
          <w:i/>
          <w:sz w:val="24"/>
          <w:szCs w:val="24"/>
        </w:rPr>
        <w:t>НАУКОВІ ДИСКУСІЇ</w:t>
      </w:r>
    </w:p>
    <w:p w:rsidR="001F2681" w:rsidRPr="003B7A1E" w:rsidRDefault="001F2681" w:rsidP="00816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681" w:rsidRPr="003B7A1E" w:rsidRDefault="003B7A1E" w:rsidP="003B7A1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  <w:lang w:val="uk-UA"/>
        </w:rPr>
      </w:pPr>
      <w:proofErr w:type="spellStart"/>
      <w:r w:rsidRPr="003B7A1E">
        <w:rPr>
          <w:rFonts w:ascii="Arial" w:hAnsi="Arial" w:cs="Arial"/>
          <w:sz w:val="24"/>
          <w:szCs w:val="24"/>
        </w:rPr>
        <w:t>Хвесик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 М. А. </w:t>
      </w:r>
      <w:r w:rsidRPr="003B7A1E">
        <w:rPr>
          <w:rFonts w:ascii="Arial" w:hAnsi="Arial" w:cs="Arial"/>
          <w:b/>
          <w:bCs/>
          <w:sz w:val="24"/>
          <w:szCs w:val="24"/>
        </w:rPr>
        <w:t>Природно-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ресурсна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рента і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рентні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платежі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диференціація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понять</w:t>
      </w:r>
      <w:r w:rsidRPr="003B7A1E">
        <w:rPr>
          <w:rFonts w:ascii="Arial" w:hAnsi="Arial" w:cs="Arial"/>
          <w:sz w:val="24"/>
          <w:szCs w:val="24"/>
        </w:rPr>
        <w:t xml:space="preserve"> / М. А. </w:t>
      </w:r>
      <w:proofErr w:type="spellStart"/>
      <w:r w:rsidRPr="003B7A1E">
        <w:rPr>
          <w:rFonts w:ascii="Arial" w:hAnsi="Arial" w:cs="Arial"/>
          <w:sz w:val="24"/>
          <w:szCs w:val="24"/>
        </w:rPr>
        <w:t>Хвесик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, Л. В. </w:t>
      </w:r>
      <w:proofErr w:type="spellStart"/>
      <w:r w:rsidRPr="003B7A1E">
        <w:rPr>
          <w:rFonts w:ascii="Arial" w:hAnsi="Arial" w:cs="Arial"/>
          <w:sz w:val="24"/>
          <w:szCs w:val="24"/>
        </w:rPr>
        <w:t>Левковська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, О. В. </w:t>
      </w:r>
      <w:proofErr w:type="spellStart"/>
      <w:r w:rsidRPr="003B7A1E">
        <w:rPr>
          <w:rFonts w:ascii="Arial" w:hAnsi="Arial" w:cs="Arial"/>
          <w:sz w:val="24"/>
          <w:szCs w:val="24"/>
        </w:rPr>
        <w:t>Сакаль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, Д. В. </w:t>
      </w:r>
      <w:proofErr w:type="spellStart"/>
      <w:r w:rsidRPr="003B7A1E">
        <w:rPr>
          <w:rFonts w:ascii="Arial" w:hAnsi="Arial" w:cs="Arial"/>
          <w:sz w:val="24"/>
          <w:szCs w:val="24"/>
        </w:rPr>
        <w:t>Клиновий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 // </w:t>
      </w:r>
      <w:proofErr w:type="spellStart"/>
      <w:r w:rsidRPr="003B7A1E">
        <w:rPr>
          <w:rFonts w:ascii="Arial" w:hAnsi="Arial" w:cs="Arial"/>
          <w:sz w:val="24"/>
          <w:szCs w:val="24"/>
        </w:rPr>
        <w:t>Фінанси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sz w:val="24"/>
          <w:szCs w:val="24"/>
        </w:rPr>
        <w:t>України</w:t>
      </w:r>
      <w:proofErr w:type="spellEnd"/>
      <w:r w:rsidRPr="003B7A1E">
        <w:rPr>
          <w:rFonts w:ascii="Arial" w:hAnsi="Arial" w:cs="Arial"/>
          <w:sz w:val="24"/>
          <w:szCs w:val="24"/>
        </w:rPr>
        <w:t>. - 2020. - № 1. - C. 83-98</w:t>
      </w:r>
      <w:r w:rsidRPr="003B7A1E">
        <w:rPr>
          <w:rFonts w:ascii="Arial" w:hAnsi="Arial" w:cs="Arial"/>
          <w:sz w:val="24"/>
          <w:szCs w:val="24"/>
          <w:lang w:val="uk-UA"/>
        </w:rPr>
        <w:t>.</w:t>
      </w:r>
    </w:p>
    <w:p w:rsidR="003B7A1E" w:rsidRPr="003B7A1E" w:rsidRDefault="003B7A1E" w:rsidP="003B7A1E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3B7A1E" w:rsidRPr="003B7A1E" w:rsidRDefault="003B7A1E" w:rsidP="003B7A1E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3B7A1E">
        <w:rPr>
          <w:rFonts w:ascii="Arial" w:hAnsi="Arial" w:cs="Arial"/>
          <w:iCs/>
          <w:sz w:val="24"/>
          <w:szCs w:val="24"/>
        </w:rPr>
        <w:t xml:space="preserve">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статті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досліджено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понятійно-термінологічні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аспекти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природно-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ресурсної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ренти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рентних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платежів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Обґрунтовано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що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вітчизняній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сфері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природокористування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щодо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окремих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видів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природних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ресурсів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зокрема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водних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лісових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спостерігається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підміна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понять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податків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>/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зборів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за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спеціальне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використання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ресурсу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рентних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платежів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Виявлено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що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чинному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Податковому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кодексі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України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рентну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плату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необґрунтовано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термінологічно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ототожнено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із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загальнодержавним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податком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який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стягується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за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користування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природними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ресурсами.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Запропоновано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чітко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диференціювати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поняття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збору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за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спеціальне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використання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ресурсу,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що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має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відшкодувальний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характер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сплачується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природокористувачем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за факт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природокористування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;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податку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загального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характеру,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котрий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сплачується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власником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ресурсу за фактом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наявності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нього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права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власності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;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рентної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плати (платежу),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який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має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стягуватися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з метою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вилучення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незаробленого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підприємцем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доходу,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отриманого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результаті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наявності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певних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переваг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над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іншими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суб’єктами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господарювання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Обґрунтовано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доцільність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запозичення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окремих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дієвих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елементів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фіскального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регулювання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природно-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ресурсної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сфери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зарубіжних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країн</w:t>
      </w:r>
      <w:proofErr w:type="spellEnd"/>
      <w:r w:rsidRPr="003B7A1E">
        <w:rPr>
          <w:rFonts w:ascii="Arial" w:hAnsi="Arial" w:cs="Arial"/>
          <w:i/>
          <w:iCs/>
          <w:sz w:val="24"/>
          <w:szCs w:val="24"/>
        </w:rPr>
        <w:t>.</w:t>
      </w:r>
    </w:p>
    <w:p w:rsidR="003B7A1E" w:rsidRPr="003B7A1E" w:rsidRDefault="003B7A1E" w:rsidP="003B7A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1F2681" w:rsidRPr="003B7A1E" w:rsidRDefault="003B7A1E" w:rsidP="003B7A1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B7A1E">
        <w:rPr>
          <w:rFonts w:ascii="Arial" w:hAnsi="Arial" w:cs="Arial"/>
          <w:sz w:val="24"/>
          <w:szCs w:val="24"/>
        </w:rPr>
        <w:t>Рязанова Н. С. 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Енергоінформаційна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природа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вартості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 / Н. С. Рязанова, В. М. Федосов // </w:t>
      </w:r>
      <w:proofErr w:type="spellStart"/>
      <w:r w:rsidRPr="003B7A1E">
        <w:rPr>
          <w:rFonts w:ascii="Arial" w:hAnsi="Arial" w:cs="Arial"/>
          <w:sz w:val="24"/>
          <w:szCs w:val="24"/>
        </w:rPr>
        <w:t>Фінанси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sz w:val="24"/>
          <w:szCs w:val="24"/>
        </w:rPr>
        <w:t>України</w:t>
      </w:r>
      <w:proofErr w:type="spellEnd"/>
      <w:r w:rsidRPr="003B7A1E">
        <w:rPr>
          <w:rFonts w:ascii="Arial" w:hAnsi="Arial" w:cs="Arial"/>
          <w:sz w:val="24"/>
          <w:szCs w:val="24"/>
        </w:rPr>
        <w:t>. - 2020. - № 1. - C. 99-113.</w:t>
      </w:r>
    </w:p>
    <w:p w:rsidR="003B7A1E" w:rsidRPr="003B7A1E" w:rsidRDefault="003B7A1E" w:rsidP="008168E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B7A1E" w:rsidRPr="003B7A1E" w:rsidRDefault="003B7A1E" w:rsidP="003B7A1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3B7A1E">
        <w:rPr>
          <w:rFonts w:ascii="Arial" w:hAnsi="Arial" w:cs="Arial"/>
          <w:iCs/>
          <w:sz w:val="24"/>
          <w:szCs w:val="24"/>
        </w:rPr>
        <w:t>Ця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стаття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перша з циклу статей,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присвячених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розкриттю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енергоінформаційної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природи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властивостей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законів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вартості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також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ролі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фінансів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її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функціонуванні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Мета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цієї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засадничої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статті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–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обґрунтувати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актуальність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дослідження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викласти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його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методологію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енергоінформаційну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генезу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характерні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ознаки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вартості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Далі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йтиметься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про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властивості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й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об’єктивні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закони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вартості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роль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фінансів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її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функціонуванні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реалізації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її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енергоінформаційної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природи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Вартість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–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ключова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економічна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категорія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й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цілеспрямоване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використання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її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властивостей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і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законів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є основою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успішної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економіки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На жаль,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процеси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формування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руху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вартості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грошового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капіталу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не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відповідають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пануючим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на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сьогодні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уявленням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про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вартість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Вихідна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позиція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авторів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полягає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такому: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вартість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має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розглядатися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крізь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призму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положень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теоретичної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фізики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як науки,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що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вивчає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загальні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властивості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матерії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та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явищ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ній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виводить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загальні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закони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управління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цими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явищами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Оскільки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положення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викладені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зазначеному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циклі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статей,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відрізняються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від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усталених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уявлень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про природу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вартості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автори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пропонують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розглянути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цей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матеріал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3B7A1E">
        <w:rPr>
          <w:rFonts w:ascii="Arial" w:hAnsi="Arial" w:cs="Arial"/>
          <w:iCs/>
          <w:sz w:val="24"/>
          <w:szCs w:val="24"/>
        </w:rPr>
        <w:t>у порядку</w:t>
      </w:r>
      <w:proofErr w:type="gramEnd"/>
      <w:r w:rsidRPr="003B7A1E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iCs/>
          <w:sz w:val="24"/>
          <w:szCs w:val="24"/>
        </w:rPr>
        <w:t>дискусії</w:t>
      </w:r>
      <w:proofErr w:type="spellEnd"/>
      <w:r w:rsidRPr="003B7A1E">
        <w:rPr>
          <w:rFonts w:ascii="Arial" w:hAnsi="Arial" w:cs="Arial"/>
          <w:iCs/>
          <w:sz w:val="24"/>
          <w:szCs w:val="24"/>
        </w:rPr>
        <w:t>.</w:t>
      </w:r>
    </w:p>
    <w:p w:rsidR="003B7A1E" w:rsidRPr="003B7A1E" w:rsidRDefault="003B7A1E" w:rsidP="003B7A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413" w:rsidRPr="003B7A1E" w:rsidRDefault="003B7A1E" w:rsidP="003B7A1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B7A1E">
        <w:rPr>
          <w:rFonts w:ascii="Arial" w:hAnsi="Arial" w:cs="Arial"/>
          <w:sz w:val="24"/>
          <w:szCs w:val="24"/>
        </w:rPr>
        <w:lastRenderedPageBreak/>
        <w:t>Чумакова І. Ю. 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Оновлення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механізмів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прозорості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і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підзвітності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комунальних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підприємств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в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умовах</w:t>
      </w:r>
      <w:proofErr w:type="spellEnd"/>
      <w:r w:rsidRPr="003B7A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b/>
          <w:bCs/>
          <w:sz w:val="24"/>
          <w:szCs w:val="24"/>
        </w:rPr>
        <w:t>децентралізації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 / І. Ю. Чумакова // </w:t>
      </w:r>
      <w:proofErr w:type="spellStart"/>
      <w:r w:rsidRPr="003B7A1E">
        <w:rPr>
          <w:rFonts w:ascii="Arial" w:hAnsi="Arial" w:cs="Arial"/>
          <w:sz w:val="24"/>
          <w:szCs w:val="24"/>
        </w:rPr>
        <w:t>Фінанси</w:t>
      </w:r>
      <w:proofErr w:type="spellEnd"/>
      <w:r w:rsidRPr="003B7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A1E">
        <w:rPr>
          <w:rFonts w:ascii="Arial" w:hAnsi="Arial" w:cs="Arial"/>
          <w:sz w:val="24"/>
          <w:szCs w:val="24"/>
        </w:rPr>
        <w:t>України</w:t>
      </w:r>
      <w:proofErr w:type="spellEnd"/>
      <w:r w:rsidRPr="003B7A1E">
        <w:rPr>
          <w:rFonts w:ascii="Arial" w:hAnsi="Arial" w:cs="Arial"/>
          <w:sz w:val="24"/>
          <w:szCs w:val="24"/>
        </w:rPr>
        <w:t>. - 2020. - № 1. - C. 114-128.</w:t>
      </w:r>
    </w:p>
    <w:p w:rsidR="003B7A1E" w:rsidRPr="003B7A1E" w:rsidRDefault="003B7A1E" w:rsidP="003B7A1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B7A1E" w:rsidRPr="003B7A1E" w:rsidRDefault="003B7A1E" w:rsidP="003B7A1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B7A1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Об’єктом</w:t>
      </w:r>
      <w:proofErr w:type="spellEnd"/>
      <w:r w:rsidRPr="003B7A1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дослідження</w:t>
      </w:r>
      <w:proofErr w:type="spellEnd"/>
      <w:r w:rsidRPr="003B7A1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є </w:t>
      </w:r>
      <w:proofErr w:type="spellStart"/>
      <w:r w:rsidRPr="003B7A1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механізми</w:t>
      </w:r>
      <w:proofErr w:type="spellEnd"/>
      <w:r w:rsidRPr="003B7A1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нагляду</w:t>
      </w:r>
      <w:proofErr w:type="spellEnd"/>
      <w:r w:rsidRPr="003B7A1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й аудиту </w:t>
      </w:r>
      <w:proofErr w:type="spellStart"/>
      <w:r w:rsidRPr="003B7A1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комунальних</w:t>
      </w:r>
      <w:proofErr w:type="spellEnd"/>
      <w:r w:rsidRPr="003B7A1E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підприємств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поліпшення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механізмів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 межах</w:t>
      </w:r>
      <w:proofErr w:type="gram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реформи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децентралізації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Украї</w:t>
      </w:r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softHyphen/>
        <w:t>ні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У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статті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проаналізовано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зміни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законодавства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бухгалтерського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обліку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й аудиту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фінансової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звітності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контексті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прозорості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підзвітності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комунальним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господарством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 боку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органів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місцевого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самоврядування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Визначено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ключові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ризики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проблеми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сфері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децентралізації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й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формування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об’єднаних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територіальних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громад на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тлі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реалізації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Україною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завдань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імплементації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Угоди про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асоціацію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 ЄС у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вітчизняну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практику.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Виконання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євроінтеграційних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завдань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нашої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країни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передбачає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створення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умов </w:t>
      </w:r>
      <w:proofErr w:type="gram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доступу</w:t>
      </w:r>
      <w:proofErr w:type="gram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фінансово-економічних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показників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діяльності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комунальних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унітарних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підприємств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підвищення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їх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підзвітності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населенню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територіальних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громад.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Сформульовано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пропозиції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щодо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оприлюднення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інформації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діяльність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комунальних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унітарних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підприємств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надано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практичні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рекомендації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органів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місцевого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самоврядування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стосовно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категорій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комунальних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підприємств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де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мають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бути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створені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наглядові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ради, та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критеріїв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відбору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незалежних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аудиторів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обов’язкового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аудиту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річної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фінансової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звітності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таких </w:t>
      </w:r>
      <w:proofErr w:type="spellStart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підприємств</w:t>
      </w:r>
      <w:proofErr w:type="spellEnd"/>
      <w:r w:rsidRPr="003B7A1E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3B7A1E" w:rsidRPr="003B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4474"/>
    <w:multiLevelType w:val="hybridMultilevel"/>
    <w:tmpl w:val="5AC0E3D2"/>
    <w:lvl w:ilvl="0" w:tplc="7674B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A1B0A"/>
    <w:multiLevelType w:val="hybridMultilevel"/>
    <w:tmpl w:val="A73E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1B"/>
    <w:rsid w:val="0012231B"/>
    <w:rsid w:val="001F2681"/>
    <w:rsid w:val="003B7A1E"/>
    <w:rsid w:val="008168E7"/>
    <w:rsid w:val="00B61AA8"/>
    <w:rsid w:val="00D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4259"/>
  <w15:chartTrackingRefBased/>
  <w15:docId w15:val="{2FA9AC75-9384-4C57-9A79-C998B2B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2020-04-01T14:14:00Z</dcterms:created>
  <dcterms:modified xsi:type="dcterms:W3CDTF">2020-04-01T19:15:00Z</dcterms:modified>
</cp:coreProperties>
</file>