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B2" w:rsidRDefault="000F712B" w:rsidP="00E3522C">
      <w:pPr>
        <w:pStyle w:val="30"/>
        <w:framePr w:w="8294" w:h="3266" w:hRule="exact" w:wrap="none" w:vAnchor="page" w:hAnchor="page" w:x="541" w:y="856"/>
        <w:shd w:val="clear" w:color="auto" w:fill="auto"/>
        <w:spacing w:line="221" w:lineRule="exact"/>
        <w:ind w:left="552" w:right="3638"/>
        <w:jc w:val="center"/>
      </w:pPr>
      <w:r>
        <w:rPr>
          <w:rStyle w:val="3Arial75pt"/>
          <w:b/>
          <w:bCs/>
        </w:rPr>
        <w:t>НАУКОВИЙ ЖУРНАЛ</w:t>
      </w:r>
    </w:p>
    <w:p w:rsidR="00787CB2" w:rsidRDefault="000F712B" w:rsidP="00E3522C">
      <w:pPr>
        <w:pStyle w:val="30"/>
        <w:framePr w:w="8294" w:h="3266" w:hRule="exact" w:wrap="none" w:vAnchor="page" w:hAnchor="page" w:x="541" w:y="856"/>
        <w:shd w:val="clear" w:color="auto" w:fill="auto"/>
        <w:spacing w:after="349" w:line="221" w:lineRule="exact"/>
        <w:ind w:left="552" w:right="3638"/>
        <w:jc w:val="center"/>
      </w:pPr>
      <w:r>
        <w:rPr>
          <w:rStyle w:val="3Arial75pt"/>
          <w:b/>
          <w:bCs/>
        </w:rPr>
        <w:t>НАЦІОНАЛЬНОЇ АКАДЕМІЇ НАУК УКРАЇНИ І</w:t>
      </w:r>
      <w:r>
        <w:rPr>
          <w:rStyle w:val="3Arial75pt"/>
          <w:b/>
          <w:bCs/>
        </w:rPr>
        <w:br/>
        <w:t>ДЕРЖАВНОЇ УСТАНОВИ “ІНСТИТУТ ЕКОНОМІКИ</w:t>
      </w:r>
      <w:r>
        <w:rPr>
          <w:rStyle w:val="3Arial75pt"/>
          <w:b/>
          <w:bCs/>
        </w:rPr>
        <w:br/>
        <w:t>ТА ПРОГНОЗУВАННЯ НАН УКРАЇНИ”</w:t>
      </w:r>
    </w:p>
    <w:p w:rsidR="00787CB2" w:rsidRDefault="000F712B" w:rsidP="00E3522C">
      <w:pPr>
        <w:pStyle w:val="120"/>
        <w:framePr w:w="8294" w:h="3266" w:hRule="exact" w:wrap="none" w:vAnchor="page" w:hAnchor="page" w:x="541" w:y="856"/>
        <w:shd w:val="clear" w:color="auto" w:fill="auto"/>
        <w:spacing w:before="0" w:line="1060" w:lineRule="exact"/>
        <w:ind w:left="860"/>
      </w:pPr>
      <w:bookmarkStart w:id="0" w:name="bookmark0"/>
      <w:r>
        <w:t>Економіка</w:t>
      </w:r>
      <w:bookmarkEnd w:id="0"/>
    </w:p>
    <w:p w:rsidR="00787CB2" w:rsidRDefault="000F712B" w:rsidP="00E3522C">
      <w:pPr>
        <w:pStyle w:val="120"/>
        <w:framePr w:w="8294" w:h="3266" w:hRule="exact" w:wrap="none" w:vAnchor="page" w:hAnchor="page" w:x="541" w:y="856"/>
        <w:shd w:val="clear" w:color="auto" w:fill="auto"/>
        <w:spacing w:before="0" w:line="1060" w:lineRule="exact"/>
        <w:ind w:left="1280"/>
      </w:pPr>
      <w:bookmarkStart w:id="1" w:name="bookmark1"/>
      <w:r>
        <w:t>України</w:t>
      </w:r>
      <w:bookmarkEnd w:id="1"/>
    </w:p>
    <w:p w:rsidR="00787CB2" w:rsidRDefault="000F712B">
      <w:pPr>
        <w:pStyle w:val="122"/>
        <w:framePr w:w="1920" w:h="2388" w:hRule="exact" w:wrap="none" w:vAnchor="page" w:hAnchor="page" w:x="6299" w:y="1179"/>
        <w:shd w:val="clear" w:color="auto" w:fill="auto"/>
        <w:spacing w:after="189" w:line="300" w:lineRule="exact"/>
        <w:ind w:left="420"/>
      </w:pPr>
      <w:r>
        <w:t>3</w:t>
      </w:r>
      <w:r>
        <w:rPr>
          <w:rStyle w:val="12Arial0pt"/>
          <w:i/>
          <w:iCs/>
        </w:rPr>
        <w:t>(</w:t>
      </w:r>
      <w:r>
        <w:t>688</w:t>
      </w:r>
      <w:r>
        <w:rPr>
          <w:rStyle w:val="12Arial0pt"/>
          <w:i/>
          <w:iCs/>
        </w:rPr>
        <w:t>)</w:t>
      </w:r>
    </w:p>
    <w:p w:rsidR="00787CB2" w:rsidRDefault="000F712B">
      <w:pPr>
        <w:pStyle w:val="20"/>
        <w:framePr w:w="1920" w:h="2388" w:hRule="exact" w:wrap="none" w:vAnchor="page" w:hAnchor="page" w:x="6299" w:y="1179"/>
        <w:shd w:val="clear" w:color="auto" w:fill="auto"/>
        <w:spacing w:before="0" w:after="216" w:line="190" w:lineRule="exact"/>
        <w:ind w:firstLine="0"/>
      </w:pPr>
      <w:r>
        <w:rPr>
          <w:rStyle w:val="21"/>
        </w:rPr>
        <w:t>БЕРЕЗЕНЬ</w:t>
      </w:r>
    </w:p>
    <w:p w:rsidR="00787CB2" w:rsidRDefault="000F712B">
      <w:pPr>
        <w:pStyle w:val="20"/>
        <w:framePr w:w="1920" w:h="2388" w:hRule="exact" w:wrap="none" w:vAnchor="page" w:hAnchor="page" w:x="6299" w:y="1179"/>
        <w:shd w:val="clear" w:color="auto" w:fill="auto"/>
        <w:spacing w:before="0" w:after="181" w:line="190" w:lineRule="exact"/>
        <w:ind w:firstLine="0"/>
      </w:pPr>
      <w:r>
        <w:rPr>
          <w:rStyle w:val="21"/>
        </w:rPr>
        <w:t>2019</w:t>
      </w:r>
    </w:p>
    <w:p w:rsidR="00787CB2" w:rsidRDefault="000F712B">
      <w:pPr>
        <w:pStyle w:val="100"/>
        <w:framePr w:w="1920" w:h="2388" w:hRule="exact" w:wrap="none" w:vAnchor="page" w:hAnchor="page" w:x="6299" w:y="1179"/>
        <w:shd w:val="clear" w:color="auto" w:fill="auto"/>
        <w:spacing w:before="0" w:line="209" w:lineRule="exact"/>
        <w:jc w:val="center"/>
      </w:pPr>
      <w:r>
        <w:t>Видається</w:t>
      </w:r>
      <w:r>
        <w:br/>
        <w:t>з вересня</w:t>
      </w:r>
      <w:r>
        <w:br/>
        <w:t>1958 р.</w:t>
      </w:r>
    </w:p>
    <w:p w:rsidR="00787CB2" w:rsidRDefault="000F712B">
      <w:pPr>
        <w:pStyle w:val="20"/>
        <w:framePr w:w="1920" w:h="2388" w:hRule="exact" w:wrap="none" w:vAnchor="page" w:hAnchor="page" w:x="6299" w:y="1179"/>
        <w:shd w:val="clear" w:color="auto" w:fill="auto"/>
        <w:spacing w:before="0" w:after="0" w:line="190" w:lineRule="exact"/>
        <w:ind w:firstLine="0"/>
        <w:jc w:val="left"/>
      </w:pPr>
      <w:r>
        <w:rPr>
          <w:rStyle w:val="21"/>
        </w:rPr>
        <w:t>Виходить щомісяця</w:t>
      </w:r>
    </w:p>
    <w:p w:rsidR="00787CB2" w:rsidRDefault="000F712B">
      <w:pPr>
        <w:pStyle w:val="100"/>
        <w:framePr w:w="8294" w:h="268" w:hRule="exact" w:wrap="none" w:vAnchor="page" w:hAnchor="page" w:x="798" w:y="4434"/>
        <w:shd w:val="clear" w:color="auto" w:fill="auto"/>
        <w:spacing w:before="0" w:line="210" w:lineRule="exact"/>
        <w:ind w:right="320"/>
      </w:pPr>
      <w:r>
        <w:rPr>
          <w:rStyle w:val="102pt"/>
          <w:b/>
          <w:bCs/>
        </w:rPr>
        <w:t>ЗМІСТ</w:t>
      </w:r>
    </w:p>
    <w:p w:rsidR="00787CB2" w:rsidRDefault="000F712B">
      <w:pPr>
        <w:pStyle w:val="30"/>
        <w:framePr w:wrap="none" w:vAnchor="page" w:hAnchor="page" w:x="8046" w:y="4676"/>
        <w:shd w:val="clear" w:color="auto" w:fill="auto"/>
        <w:spacing w:line="150" w:lineRule="exact"/>
        <w:jc w:val="left"/>
      </w:pPr>
      <w:r>
        <w:rPr>
          <w:rStyle w:val="3Arial75pt"/>
          <w:b/>
          <w:bCs/>
          <w:lang w:val="ru-RU" w:eastAsia="ru-RU" w:bidi="ru-RU"/>
        </w:rPr>
        <w:t>Стар.</w:t>
      </w:r>
    </w:p>
    <w:p w:rsidR="00787CB2" w:rsidRDefault="000F712B">
      <w:pPr>
        <w:pStyle w:val="100"/>
        <w:framePr w:w="8294" w:h="1032" w:hRule="exact" w:wrap="none" w:vAnchor="page" w:hAnchor="page" w:x="798" w:y="5055"/>
        <w:shd w:val="clear" w:color="auto" w:fill="auto"/>
        <w:spacing w:before="0" w:after="167" w:line="210" w:lineRule="exact"/>
        <w:ind w:left="1280"/>
        <w:jc w:val="left"/>
      </w:pPr>
      <w:r>
        <w:t>УПРАВЛІННЯ ЕКОНОМІКОЮ: ТЕОРІЯ І ПРАКТИКА</w:t>
      </w:r>
    </w:p>
    <w:p w:rsidR="00787CB2" w:rsidRDefault="000F712B">
      <w:pPr>
        <w:pStyle w:val="20"/>
        <w:framePr w:w="8294" w:h="1032" w:hRule="exact" w:wrap="none" w:vAnchor="page" w:hAnchor="page" w:x="798" w:y="5055"/>
        <w:shd w:val="clear" w:color="auto" w:fill="auto"/>
        <w:spacing w:before="0" w:after="130" w:line="210" w:lineRule="exact"/>
        <w:ind w:firstLine="0"/>
        <w:jc w:val="both"/>
      </w:pPr>
      <w:r>
        <w:rPr>
          <w:rStyle w:val="2105pt"/>
        </w:rPr>
        <w:t xml:space="preserve">ЛОГАЦЬКИЙ В. М. </w:t>
      </w:r>
      <w:r>
        <w:rPr>
          <w:rStyle w:val="21"/>
        </w:rPr>
        <w:t>— Удосконалення тарифної політики у сфері</w:t>
      </w:r>
    </w:p>
    <w:p w:rsidR="00787CB2" w:rsidRDefault="000F712B">
      <w:pPr>
        <w:pStyle w:val="20"/>
        <w:framePr w:w="8294" w:h="1032" w:hRule="exact" w:wrap="none" w:vAnchor="page" w:hAnchor="page" w:x="798" w:y="5055"/>
        <w:shd w:val="clear" w:color="auto" w:fill="auto"/>
        <w:spacing w:before="0" w:after="0" w:line="190" w:lineRule="exact"/>
        <w:ind w:left="440" w:firstLine="0"/>
        <w:jc w:val="both"/>
      </w:pPr>
      <w:r>
        <w:rPr>
          <w:rStyle w:val="21"/>
        </w:rPr>
        <w:t>електроенергетики для досягнення секторальної та макроекономічної</w:t>
      </w:r>
    </w:p>
    <w:p w:rsidR="00787CB2" w:rsidRDefault="000F712B">
      <w:pPr>
        <w:pStyle w:val="11"/>
        <w:framePr w:w="8294" w:h="2236" w:hRule="exact" w:wrap="none" w:vAnchor="page" w:hAnchor="page" w:x="798" w:y="6040"/>
        <w:shd w:val="clear" w:color="auto" w:fill="auto"/>
        <w:tabs>
          <w:tab w:val="right" w:leader="dot" w:pos="7614"/>
        </w:tabs>
        <w:spacing w:before="0"/>
        <w:ind w:left="440"/>
      </w:pPr>
      <w:r>
        <w:t>збалансованості</w:t>
      </w:r>
      <w:r>
        <w:tab/>
        <w:t>З</w:t>
      </w:r>
    </w:p>
    <w:p w:rsidR="00787CB2" w:rsidRDefault="000F712B">
      <w:pPr>
        <w:pStyle w:val="11"/>
        <w:framePr w:w="8294" w:h="2236" w:hRule="exact" w:wrap="none" w:vAnchor="page" w:hAnchor="page" w:x="798" w:y="6040"/>
        <w:shd w:val="clear" w:color="auto" w:fill="auto"/>
        <w:spacing w:before="0"/>
      </w:pPr>
      <w:r>
        <w:rPr>
          <w:rStyle w:val="105pt"/>
          <w:lang w:val="en-US" w:eastAsia="en-US" w:bidi="en-US"/>
        </w:rPr>
        <w:t xml:space="preserve">AFANASIEVA MARYNA </w:t>
      </w:r>
      <w:r>
        <w:t xml:space="preserve">— </w:t>
      </w:r>
      <w:r>
        <w:rPr>
          <w:lang w:val="en-US" w:eastAsia="en-US" w:bidi="en-US"/>
        </w:rPr>
        <w:t>Risk analysis of inefficiency at Ukraine’s machine</w:t>
      </w:r>
    </w:p>
    <w:p w:rsidR="00787CB2" w:rsidRDefault="000F712B">
      <w:pPr>
        <w:pStyle w:val="11"/>
        <w:framePr w:w="8294" w:h="2236" w:hRule="exact" w:wrap="none" w:vAnchor="page" w:hAnchor="page" w:x="798" w:y="6040"/>
        <w:shd w:val="clear" w:color="auto" w:fill="auto"/>
        <w:tabs>
          <w:tab w:val="right" w:leader="dot" w:pos="7614"/>
        </w:tabs>
        <w:spacing w:before="0" w:after="163"/>
        <w:ind w:left="440"/>
      </w:pPr>
      <w:r>
        <w:rPr>
          <w:lang w:val="en-US" w:eastAsia="en-US" w:bidi="en-US"/>
        </w:rPr>
        <w:t>building</w:t>
      </w:r>
      <w:r w:rsidRPr="00E3522C">
        <w:rPr>
          <w:lang w:eastAsia="en-US" w:bidi="en-US"/>
        </w:rPr>
        <w:t xml:space="preserve"> </w:t>
      </w:r>
      <w:r>
        <w:rPr>
          <w:lang w:val="en-US" w:eastAsia="en-US" w:bidi="en-US"/>
        </w:rPr>
        <w:t>enterprises</w:t>
      </w:r>
      <w:r w:rsidRPr="00E3522C">
        <w:rPr>
          <w:lang w:eastAsia="en-US" w:bidi="en-US"/>
        </w:rPr>
        <w:tab/>
        <w:t>22</w:t>
      </w:r>
    </w:p>
    <w:p w:rsidR="00787CB2" w:rsidRDefault="000F712B">
      <w:pPr>
        <w:pStyle w:val="23"/>
        <w:framePr w:w="8294" w:h="2236" w:hRule="exact" w:wrap="none" w:vAnchor="page" w:hAnchor="page" w:x="798" w:y="6040"/>
        <w:shd w:val="clear" w:color="auto" w:fill="auto"/>
        <w:spacing w:before="0" w:after="193" w:line="210" w:lineRule="exact"/>
        <w:ind w:left="2260"/>
      </w:pPr>
      <w:r>
        <w:t>ФІНАНСИ. ПОДАТКИ. КРЕДИТ</w:t>
      </w:r>
    </w:p>
    <w:p w:rsidR="00787CB2" w:rsidRDefault="000F712B">
      <w:pPr>
        <w:pStyle w:val="23"/>
        <w:framePr w:w="8294" w:h="2236" w:hRule="exact" w:wrap="none" w:vAnchor="page" w:hAnchor="page" w:x="798" w:y="6040"/>
        <w:shd w:val="clear" w:color="auto" w:fill="auto"/>
        <w:spacing w:before="0" w:after="149" w:line="210" w:lineRule="exact"/>
        <w:jc w:val="both"/>
      </w:pPr>
      <w:r>
        <w:t xml:space="preserve">ІІІІРІНЯН А. С., ШІРІНЯН Л. В. </w:t>
      </w:r>
      <w:r>
        <w:rPr>
          <w:rStyle w:val="295pt"/>
        </w:rPr>
        <w:t>— Конкурентоспроможність ринку</w:t>
      </w:r>
    </w:p>
    <w:p w:rsidR="00787CB2" w:rsidRDefault="000F712B">
      <w:pPr>
        <w:pStyle w:val="11"/>
        <w:framePr w:w="8294" w:h="2236" w:hRule="exact" w:wrap="none" w:vAnchor="page" w:hAnchor="page" w:x="798" w:y="6040"/>
        <w:shd w:val="clear" w:color="auto" w:fill="auto"/>
        <w:tabs>
          <w:tab w:val="right" w:leader="dot" w:pos="7614"/>
        </w:tabs>
        <w:spacing w:before="0" w:line="190" w:lineRule="exact"/>
        <w:ind w:left="440"/>
      </w:pPr>
      <w:r>
        <w:t>банківських послуг України: фактор масштабу</w:t>
      </w:r>
      <w:r>
        <w:tab/>
        <w:t>35</w:t>
      </w:r>
    </w:p>
    <w:p w:rsidR="00787CB2" w:rsidRDefault="000F712B">
      <w:pPr>
        <w:pStyle w:val="23"/>
        <w:framePr w:w="8294" w:h="905" w:hRule="exact" w:wrap="none" w:vAnchor="page" w:hAnchor="page" w:x="798" w:y="8265"/>
        <w:shd w:val="clear" w:color="auto" w:fill="auto"/>
        <w:spacing w:before="0" w:after="0" w:line="425" w:lineRule="exact"/>
        <w:ind w:right="1040" w:firstLine="620"/>
      </w:pPr>
      <w:r>
        <w:t xml:space="preserve">ПРОБЛЕМИ РЕГІОНАЛЬНОГО РОЗВИТКУ І ДЕЦЕНТРАЛІЗАЦІЇ </w:t>
      </w:r>
      <w:r>
        <w:rPr>
          <w:lang w:val="ru-RU" w:eastAsia="ru-RU" w:bidi="ru-RU"/>
        </w:rPr>
        <w:t xml:space="preserve">ОЛЕКСЮК Г. </w:t>
      </w:r>
      <w:r>
        <w:t xml:space="preserve">В., ЛИСЯК Н. М., ПОПАДИНЕЦЬ Н. М. </w:t>
      </w:r>
      <w:r>
        <w:rPr>
          <w:rStyle w:val="295pt"/>
        </w:rPr>
        <w:t>- Концептуально-</w:t>
      </w:r>
    </w:p>
    <w:p w:rsidR="00787CB2" w:rsidRDefault="000F712B">
      <w:pPr>
        <w:pStyle w:val="11"/>
        <w:framePr w:w="8294" w:h="1397" w:hRule="exact" w:wrap="none" w:vAnchor="page" w:hAnchor="page" w:x="798" w:y="9096"/>
        <w:shd w:val="clear" w:color="auto" w:fill="auto"/>
        <w:spacing w:before="0" w:line="334" w:lineRule="exact"/>
        <w:ind w:left="440"/>
      </w:pPr>
      <w:r>
        <w:t>структурні моделі ендогенного потенціалу об’єднаних територіальних</w:t>
      </w:r>
    </w:p>
    <w:p w:rsidR="00787CB2" w:rsidRDefault="000F712B">
      <w:pPr>
        <w:pStyle w:val="11"/>
        <w:framePr w:w="8294" w:h="1397" w:hRule="exact" w:wrap="none" w:vAnchor="page" w:hAnchor="page" w:x="798" w:y="9096"/>
        <w:shd w:val="clear" w:color="auto" w:fill="auto"/>
        <w:tabs>
          <w:tab w:val="left" w:leader="dot" w:pos="7398"/>
        </w:tabs>
        <w:spacing w:before="0" w:line="334" w:lineRule="exact"/>
        <w:ind w:left="440"/>
      </w:pPr>
      <w:r>
        <w:t>громад як передумова підвищення їх конкурентоспроможності</w:t>
      </w:r>
      <w:r>
        <w:tab/>
        <w:t>52</w:t>
      </w:r>
    </w:p>
    <w:p w:rsidR="00787CB2" w:rsidRDefault="000F712B">
      <w:pPr>
        <w:pStyle w:val="11"/>
        <w:framePr w:w="8294" w:h="1397" w:hRule="exact" w:wrap="none" w:vAnchor="page" w:hAnchor="page" w:x="798" w:y="9096"/>
        <w:shd w:val="clear" w:color="auto" w:fill="auto"/>
        <w:spacing w:before="0" w:line="334" w:lineRule="exact"/>
      </w:pPr>
      <w:r>
        <w:rPr>
          <w:rStyle w:val="105pt"/>
        </w:rPr>
        <w:t xml:space="preserve">МЕЛЬНИК М. І., ЛЕЩУХ І. В. </w:t>
      </w:r>
      <w:r>
        <w:t>- Міста - центри економічної активності</w:t>
      </w:r>
    </w:p>
    <w:p w:rsidR="00787CB2" w:rsidRDefault="000F712B">
      <w:pPr>
        <w:pStyle w:val="11"/>
        <w:framePr w:w="8294" w:h="1397" w:hRule="exact" w:wrap="none" w:vAnchor="page" w:hAnchor="page" w:x="798" w:y="9096"/>
        <w:shd w:val="clear" w:color="auto" w:fill="auto"/>
        <w:tabs>
          <w:tab w:val="left" w:leader="dot" w:pos="7398"/>
        </w:tabs>
        <w:spacing w:before="0" w:line="334" w:lineRule="exact"/>
        <w:ind w:left="440"/>
      </w:pPr>
      <w:r>
        <w:t>у вимірі цілей інклюзивного розвитку</w:t>
      </w:r>
      <w:r>
        <w:tab/>
        <w:t>70</w:t>
      </w:r>
    </w:p>
    <w:p w:rsidR="00787CB2" w:rsidRDefault="000F712B">
      <w:pPr>
        <w:pStyle w:val="23"/>
        <w:framePr w:w="8294" w:h="696" w:hRule="exact" w:wrap="none" w:vAnchor="page" w:hAnchor="page" w:x="798" w:y="10633"/>
        <w:shd w:val="clear" w:color="auto" w:fill="auto"/>
        <w:spacing w:before="0" w:after="193" w:line="210" w:lineRule="exact"/>
        <w:ind w:left="2480"/>
      </w:pPr>
      <w:r>
        <w:t>КРИТИКА І БІБЛІОГРАФІЯ</w:t>
      </w:r>
    </w:p>
    <w:p w:rsidR="00787CB2" w:rsidRDefault="000F712B">
      <w:pPr>
        <w:pStyle w:val="11"/>
        <w:framePr w:w="8294" w:h="696" w:hRule="exact" w:wrap="none" w:vAnchor="page" w:hAnchor="page" w:x="798" w:y="10633"/>
        <w:shd w:val="clear" w:color="auto" w:fill="auto"/>
        <w:spacing w:before="0" w:line="210" w:lineRule="exact"/>
      </w:pPr>
      <w:r>
        <w:rPr>
          <w:rStyle w:val="105pt"/>
        </w:rPr>
        <w:t xml:space="preserve">АМОША О. І. </w:t>
      </w:r>
      <w:r>
        <w:t>— Промислові реформи як шлях до оновлення української</w:t>
      </w:r>
    </w:p>
    <w:p w:rsidR="00787CB2" w:rsidRDefault="004601FD" w:rsidP="00FE263D">
      <w:pPr>
        <w:pStyle w:val="11"/>
        <w:framePr w:w="8294" w:h="2593" w:hRule="exact" w:wrap="none" w:vAnchor="page" w:hAnchor="page" w:x="361" w:y="11371"/>
        <w:shd w:val="clear" w:color="auto" w:fill="auto"/>
        <w:tabs>
          <w:tab w:val="right" w:leader="dot" w:pos="7614"/>
        </w:tabs>
        <w:spacing w:before="0" w:after="135" w:line="190" w:lineRule="exact"/>
        <w:ind w:left="440"/>
      </w:pPr>
      <w:hyperlink w:anchor="bookmark0" w:tooltip="Current Document">
        <w:r w:rsidR="000F712B">
          <w:t>економіки</w:t>
        </w:r>
        <w:r w:rsidR="000F712B">
          <w:tab/>
          <w:t>85</w:t>
        </w:r>
      </w:hyperlink>
    </w:p>
    <w:p w:rsidR="00787CB2" w:rsidRDefault="000F712B" w:rsidP="00FE263D">
      <w:pPr>
        <w:pStyle w:val="11"/>
        <w:framePr w:w="8294" w:h="2593" w:hRule="exact" w:wrap="none" w:vAnchor="page" w:hAnchor="page" w:x="361" w:y="11371"/>
        <w:shd w:val="clear" w:color="auto" w:fill="auto"/>
        <w:spacing w:before="0" w:after="132" w:line="210" w:lineRule="exact"/>
        <w:ind w:left="9"/>
      </w:pPr>
      <w:r>
        <w:rPr>
          <w:rStyle w:val="105pt"/>
        </w:rPr>
        <w:t xml:space="preserve">ОРЄХОВА Т. В. </w:t>
      </w:r>
      <w:r>
        <w:t>— Міжнародний маркетинг та фінанси для розвитку бізнесу....88</w:t>
      </w:r>
    </w:p>
    <w:p w:rsidR="00787CB2" w:rsidRDefault="000F712B" w:rsidP="00FE263D">
      <w:pPr>
        <w:pStyle w:val="32"/>
        <w:framePr w:w="8294" w:h="2593" w:hRule="exact" w:wrap="none" w:vAnchor="page" w:hAnchor="page" w:x="361" w:y="11371"/>
        <w:shd w:val="clear" w:color="auto" w:fill="auto"/>
        <w:spacing w:before="0" w:after="146" w:line="110" w:lineRule="exact"/>
        <w:ind w:left="3480"/>
      </w:pPr>
      <w:r>
        <w:t>—</w:t>
      </w:r>
    </w:p>
    <w:p w:rsidR="00787CB2" w:rsidRDefault="000F712B" w:rsidP="00FE263D">
      <w:pPr>
        <w:pStyle w:val="11"/>
        <w:framePr w:w="8294" w:h="2593" w:hRule="exact" w:wrap="none" w:vAnchor="page" w:hAnchor="page" w:x="361" w:y="11371"/>
        <w:shd w:val="clear" w:color="auto" w:fill="auto"/>
        <w:tabs>
          <w:tab w:val="right" w:leader="dot" w:pos="7623"/>
        </w:tabs>
        <w:spacing w:before="0" w:after="400" w:line="210" w:lineRule="exact"/>
        <w:ind w:left="9"/>
      </w:pPr>
      <w:r>
        <w:rPr>
          <w:rStyle w:val="105pt"/>
        </w:rPr>
        <w:t xml:space="preserve">РЕЗЮМЕ </w:t>
      </w:r>
      <w:r>
        <w:t>(англійською мовою)</w:t>
      </w:r>
      <w:r>
        <w:tab/>
        <w:t>.92</w:t>
      </w:r>
    </w:p>
    <w:p w:rsidR="00787CB2" w:rsidRDefault="000F712B" w:rsidP="00FE263D">
      <w:pPr>
        <w:pStyle w:val="23"/>
        <w:framePr w:w="8294" w:h="2593" w:hRule="exact" w:wrap="none" w:vAnchor="page" w:hAnchor="page" w:x="361" w:y="11371"/>
        <w:shd w:val="clear" w:color="auto" w:fill="auto"/>
        <w:tabs>
          <w:tab w:val="left" w:leader="dot" w:pos="5591"/>
          <w:tab w:val="right" w:leader="dot" w:pos="7623"/>
        </w:tabs>
        <w:spacing w:before="0" w:after="44" w:line="210" w:lineRule="exact"/>
        <w:ind w:left="9"/>
        <w:jc w:val="both"/>
      </w:pPr>
      <w:r>
        <w:t>РЕДАКЦІЙНА ПОЛІТИКА ТА ЕТИЧНІ ПРИНЦИПИ</w:t>
      </w:r>
      <w:r>
        <w:rPr>
          <w:rStyle w:val="295pt"/>
        </w:rPr>
        <w:tab/>
      </w:r>
      <w:r>
        <w:rPr>
          <w:rStyle w:val="295pt"/>
        </w:rPr>
        <w:tab/>
        <w:t>95</w:t>
      </w:r>
    </w:p>
    <w:p w:rsidR="00787CB2" w:rsidRDefault="00787CB2" w:rsidP="00FE263D">
      <w:pPr>
        <w:pStyle w:val="111"/>
        <w:framePr w:w="8294" w:h="2593" w:hRule="exact" w:wrap="none" w:vAnchor="page" w:hAnchor="page" w:x="361" w:y="11371"/>
        <w:shd w:val="clear" w:color="auto" w:fill="auto"/>
        <w:spacing w:before="0" w:line="220" w:lineRule="exact"/>
        <w:ind w:right="320"/>
        <w:jc w:val="center"/>
      </w:pPr>
    </w:p>
    <w:p w:rsidR="00E3522C" w:rsidRDefault="00E3522C" w:rsidP="00FE263D">
      <w:pPr>
        <w:pStyle w:val="111"/>
        <w:framePr w:w="8294" w:h="2593" w:hRule="exact" w:wrap="none" w:vAnchor="page" w:hAnchor="page" w:x="361" w:y="11371"/>
        <w:shd w:val="clear" w:color="auto" w:fill="auto"/>
        <w:spacing w:before="0" w:line="220" w:lineRule="exact"/>
        <w:ind w:right="320"/>
        <w:jc w:val="center"/>
      </w:pPr>
    </w:p>
    <w:p w:rsidR="00787CB2" w:rsidRDefault="000F712B">
      <w:pPr>
        <w:pStyle w:val="20"/>
        <w:framePr w:wrap="none" w:vAnchor="page" w:hAnchor="page" w:x="3947" w:y="13460"/>
        <w:shd w:val="clear" w:color="auto" w:fill="auto"/>
        <w:spacing w:before="0" w:after="0" w:line="190" w:lineRule="exact"/>
        <w:ind w:firstLine="0"/>
        <w:jc w:val="left"/>
      </w:pPr>
      <w:r>
        <w:rPr>
          <w:rStyle w:val="21"/>
        </w:rPr>
        <w:t>КИЇ В 2019</w:t>
      </w:r>
    </w:p>
    <w:p w:rsidR="00FE263D" w:rsidRDefault="00FE263D">
      <w:pPr>
        <w:rPr>
          <w:sz w:val="2"/>
          <w:szCs w:val="2"/>
        </w:rPr>
        <w:sectPr w:rsidR="00FE263D">
          <w:pgSz w:w="9091" w:h="14393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8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7655"/>
      </w:tblGrid>
      <w:tr w:rsidR="00FE263D" w:rsidTr="00FE2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E263D" w:rsidRDefault="00FE263D" w:rsidP="003249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FE263D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E263D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E263D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Афанасьєва, М. </w:t>
            </w:r>
            <w:r>
              <w:rPr>
                <w:rFonts w:ascii="Times New Roman" w:hAnsi="Times New Roman" w:cs="Times New Roman"/>
              </w:rPr>
              <w:t>Аналіз ризиків неефективності на українських підприємствах машинобудування / М. Афанасьєва // Економіка України. – 2019. – № 3. – С. 22-34.</w:t>
            </w:r>
          </w:p>
          <w:p w:rsidR="00FE263D" w:rsidRPr="00BD2439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BD2439">
              <w:rPr>
                <w:rFonts w:ascii="Times New Roman" w:hAnsi="Times New Roman" w:cs="Times New Roman"/>
                <w:i/>
              </w:rPr>
              <w:t>Розглянуто ідентифікацію ризиків неефективності на прикладах 51 українського акціонерного машинобудівного підприємства у 2012–2017 рр. Як результуючий показник ефективності обрано додану вартість за факторами виробництва (ДВ), яка є джерелом доходів різних соціальних груп, що сприяє консолідації їх зусиль. Щоб підтримати прогресивні технології та менеджмент, а не екстенсивне захоплення ринку, запропоновано мультиплікативну модель ДВ, де її частка у випуску є оцінкою якісних процесів усередині підприємства. Проведено економічний аналіз щорічної публічної фінансової звітності та структурної статистики, щоб дослідити для основної операційної діяльності пропорції між елементами витрат в їх сумі та у зв’язку з прибутком у чистому доході від реалізації. У результаті запропоновано моделі двох типів коефіцієнта ризику. Їх верифіковано за допомогою статистичного аналізу. Дані перевірено на дотримання закону нормального розподілу за тестом Шапіро – Уілка і на однорідність за коефіцієнтом кореляції. У ході непараметричного дисперсійного аналізу за тестом Крускала – Уоліса доведено, що групи ризику статистично значимо відрізняються від інших підприємств і один від одного. На підставі рангових коефіцієнтів кореляції Спірмена виявлено статистично значущу сильну і помірно сильну залежність показника ДВ/випуск від належності підприємства до групи ризику першого або другого типу. Виявлено, що 37% підприємств вибірки є ризиковими, причому третина з них – це великі або середні компанії. Продемонстровано переваги методики порівняно з методом кластеризації Варда. Наша методика дозволяє виокремити більш вузьке коло проблемних підприємств. Зроблено висновок про те, що управлінські рішення щодо надання додаткових ресурсів варто перевіряти на предмет того, чи не є підприємство ризиковим за наданими алгоритмами. Для виправлення ситуації потрібно звертатися до концепції сталого розвитку.</w:t>
            </w:r>
          </w:p>
          <w:p w:rsidR="00FE263D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E263D" w:rsidTr="00FE2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E263D" w:rsidRDefault="00FE263D" w:rsidP="003249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FE263D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E263D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E263D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Логацький, В.М. </w:t>
            </w:r>
            <w:r>
              <w:rPr>
                <w:rFonts w:ascii="Times New Roman" w:hAnsi="Times New Roman" w:cs="Times New Roman"/>
              </w:rPr>
              <w:t>Удосконалення тарифної політики у сфері електроенергетики для досягнення секторальної та макроекономічної збалансованості / В. М. Логацький // Економіка України. – 2019. – № 3. – С. 3-21.</w:t>
            </w:r>
          </w:p>
          <w:p w:rsidR="00FE263D" w:rsidRPr="00BD2439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BD2439">
              <w:rPr>
                <w:rFonts w:ascii="Times New Roman" w:hAnsi="Times New Roman" w:cs="Times New Roman"/>
              </w:rPr>
              <w:t xml:space="preserve">  </w:t>
            </w:r>
            <w:r w:rsidRPr="00BD2439">
              <w:rPr>
                <w:rFonts w:ascii="Times New Roman" w:hAnsi="Times New Roman" w:cs="Times New Roman"/>
                <w:i/>
              </w:rPr>
              <w:t xml:space="preserve">Розглянуто проблеми формування тарифної політики в умовах переходу на нову модель ринку електричної енергії в Україні та впровадження стимулюючого ціноутворення у сфері електроенергетики. Визначено основні вади наявної моделі ринку електроенергії; інституціональну структуру і функціональну взаємодію ринкових сегментів нової моделі ринку, заснованої на вільному ціноутворенні на електричну енергію як товар. Акцентовано увагу, що для досягнення секторальної та макроекономічної збалансованості необхідним є належне обгрунтування цін на послуги з розподілу електричної енергії в умовах переходу на нову модель ринку, оскільки тарифи на ці послуги і надалі регулюватимуться державою. </w:t>
            </w:r>
          </w:p>
          <w:p w:rsidR="00FE263D" w:rsidRPr="00BD2439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BD2439">
              <w:rPr>
                <w:rFonts w:ascii="Times New Roman" w:hAnsi="Times New Roman" w:cs="Times New Roman"/>
                <w:i/>
              </w:rPr>
              <w:t xml:space="preserve">Показано, що основними критеріями при формуванні адекватних тарифів в Україні мають бути: посильне фінансове навантаження на більшість учасників ринку електричної енергії з метою забезпечення його збалансованості; достатнє фінансове забезпечення для підтримання належного технічного стану енергетичної інфраструктури. Визначено головні недоліки наявної нормативної бази для впровадження стимулюючого ціноутворення на послуги з розподілу електричної енергії в Україні та причини, пов’язані з відстроченням застосування стимулюючого ціноутворення на дані послуги в Україні. </w:t>
            </w:r>
          </w:p>
          <w:p w:rsidR="00FE263D" w:rsidRPr="00BD2439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BD2439">
              <w:rPr>
                <w:rFonts w:ascii="Times New Roman" w:hAnsi="Times New Roman" w:cs="Times New Roman"/>
                <w:i/>
              </w:rPr>
              <w:t>Охарактеризовано основні складові елементи структури стимулюючого ціноутворення, які закладено в економіко-математичну модель з метою сценарного прогнозування фінансово-економічних показників сектору розподілу електричної енергії. Розкрито, що отримані за результатами моделювання прогнозні показники тарифів на розподіл електричної енергії для різних категорій споживачів, а також агреговані фінансово-економічні показники електророзподільних компаній, слід розглядати як галузеві орієнтири для прийняття рішень на рівні національного енергетичного регулятора.</w:t>
            </w:r>
          </w:p>
          <w:p w:rsidR="00FE263D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E263D" w:rsidTr="00FE2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E263D" w:rsidRDefault="00FE263D" w:rsidP="003249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FE263D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E263D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E263D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Мельник, М.І. </w:t>
            </w:r>
            <w:r>
              <w:rPr>
                <w:rFonts w:ascii="Times New Roman" w:hAnsi="Times New Roman" w:cs="Times New Roman"/>
              </w:rPr>
              <w:t>Міста - центри економічної активності у вимірі цілей інклюзивного розвитку / М. І. Мельник, І. В. Лещук // Економіка України. – 2019. – № 3. – С. 70-84.</w:t>
            </w:r>
          </w:p>
          <w:p w:rsidR="00FE263D" w:rsidRPr="00BD2439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BD2439">
              <w:rPr>
                <w:rFonts w:ascii="Times New Roman" w:hAnsi="Times New Roman" w:cs="Times New Roman"/>
              </w:rPr>
              <w:t xml:space="preserve">  </w:t>
            </w:r>
            <w:r w:rsidRPr="00BD2439">
              <w:rPr>
                <w:rFonts w:ascii="Times New Roman" w:hAnsi="Times New Roman" w:cs="Times New Roman"/>
                <w:i/>
              </w:rPr>
              <w:t>Визначено основні завдання інклюзивного зростання, зокрема: розвиток людського капіталу; покращення якості життя громадян, скорочення нерівності та бідності; розвиток соціальної та економічної залученості; дбайливе використання природних ресурсів і захист навколишнього середовища; територіальна єдність та усунення регіональних диспропорцій.</w:t>
            </w:r>
          </w:p>
          <w:p w:rsidR="00FE263D" w:rsidRPr="00BD2439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BD2439">
              <w:rPr>
                <w:rFonts w:ascii="Times New Roman" w:hAnsi="Times New Roman" w:cs="Times New Roman"/>
                <w:i/>
              </w:rPr>
              <w:t>Показано щільну залежність (R=0,84) між індексом глобальної конкурентоспроможності країн та індексом інклюзивності розвитку. Розкрито залежність між інтенсивністю урбанізаційних процесів і показниками природного та міграційного приросту (скорочення) населення; показниками економічного розвитку та якості (комфортності) життя для мешканців міст України; показниками інституційного (в тому числі інфраструктурного) розвитку міст й оцінками їх мешканців щодо якості та комфортності проживання; показниками економічного розвитку та інвестиційною привабливістю міст України.</w:t>
            </w:r>
          </w:p>
          <w:p w:rsidR="00FE263D" w:rsidRPr="00BD2439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BD2439">
              <w:rPr>
                <w:rFonts w:ascii="Times New Roman" w:hAnsi="Times New Roman" w:cs="Times New Roman"/>
                <w:i/>
              </w:rPr>
              <w:t>Проаналізовано сучасні тенденції розвитку ІТ-сфери як ключового  рушія запровадження інклюзивного розвитку. Названо першочергові заходи для досягнення цілей інклюзивного розвитку міст і регіонів, зокрема: 1) примноження та ефективне використання людського потенціалу, що полягає, насамперед, у вихованні, втриманні в місті та збереженні концентрації креативних людей у різних сферах, які здатні розвивати творчі та інноваційні види діяльності; 2) розробка та реалізація на національному рівні міського аудиту на зразок наявного у країнах ЄС; 3) урахування при виробленні в Україні обгрунтованої ефективної політики реформ не тільки статистичних, але й соціологічних результатів оцінки суспільних настроїв, особливо в умовах децентралізації повноважень, відповідальності за прийняття рішень; 4) використання партисипативного управління та партнерського підходу у виробленні спільного бачення розвитку міст на засадах інклюзивності.</w:t>
            </w:r>
          </w:p>
          <w:p w:rsidR="00FE263D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E263D" w:rsidTr="00FE2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E263D" w:rsidRDefault="00FE263D" w:rsidP="003249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FE263D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E263D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E263D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Олексюк, Г.В. </w:t>
            </w:r>
            <w:r>
              <w:rPr>
                <w:rFonts w:ascii="Times New Roman" w:hAnsi="Times New Roman" w:cs="Times New Roman"/>
              </w:rPr>
              <w:t>Концептуально-структурні моделі ендогенного потенціалу об'єднаних територіальних громад як передумова підвищення їх конкурентоспроможності / Г. В. Олексюк, Н. М. Лисяк, Н. М. Попадинець // Економіка України. – 2019. – № 3. – С. 52-69.</w:t>
            </w:r>
          </w:p>
          <w:p w:rsidR="00FE263D" w:rsidRPr="00BD2439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BD2439">
              <w:rPr>
                <w:rFonts w:ascii="Times New Roman" w:hAnsi="Times New Roman" w:cs="Times New Roman"/>
                <w:i/>
              </w:rPr>
              <w:t xml:space="preserve">Охарактеризовано результати децентралізації влади та фінансів, що розпочалася в Україні у 2014 р. Кількісні та якісні показники функціонування об’єднаних територіальних громад (ОТГ) дають можливість провести дослідження, виявити позитивні та негативні аспекти і зробити відповідні висновки. На кінець 2018 р. в Україні створено 865 ОТГ, що охоплює лише 37% загальної території. Згідно з оцінкою фінансової спроможності створених ОТГ, близько 10% громад є неспроможними за показниками рівня дотаційності бюджету, питомої ваги видатків на утримання апарату управління у власних ресурсах, мають низькі власні доходи та капітальні видатки на 1 жителя. Показано актуальність аналізу складових соціально-економічного потенціалу ОТГ, виявлено резерви фінансової стійкості громад, які зможуть забезпечити сталий розвиток населених пунктів у майбутньому. </w:t>
            </w:r>
          </w:p>
          <w:p w:rsidR="00FE263D" w:rsidRPr="00BD2439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BD2439">
              <w:rPr>
                <w:rFonts w:ascii="Times New Roman" w:hAnsi="Times New Roman" w:cs="Times New Roman"/>
                <w:i/>
              </w:rPr>
              <w:t xml:space="preserve">Доведено, що юридичне та географічне перегрупування сіл, селищ і міст у нові ОТГ для забезпечення їх фінансової спроможності не завжди може бути ефективним, оскільки об’єднана громада – це єдиний комплекс природно-ресурсного багатства території, виробничо-господарського та інфраструктурного потенціалів, соціальної інфраструктури і показників якості життя мешканців. </w:t>
            </w:r>
          </w:p>
          <w:p w:rsidR="00FE263D" w:rsidRPr="00BD2439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BD2439">
              <w:rPr>
                <w:rFonts w:ascii="Times New Roman" w:hAnsi="Times New Roman" w:cs="Times New Roman"/>
                <w:i/>
              </w:rPr>
              <w:t>Розкрито, що для пошуку способів удосконалення управління громадою доцільно використати метод побудови концептуально-структурних моделей зазначених складових потенціалу ОТГ, які можуть бути сформовані за допомогою належних інвентаризації та оцінки майна і ресурсів, незалежно від їх юридичного статусу, господарського спрямування тощо, з використанням просторового планування та містобудівної документації, фінансово-господарських показників виробничого сектору. Визначено, що формування у такий спосіб програм і прогнозів соціально-економічного розвитку на коротко- і довгостроковий періоди забезпечує об’єктивність показників, реальність подолання фінансових дисбалансів, доцільність векторів розвитку громади, інвестиційні можливості та конкурентоспроможність ОТГ.</w:t>
            </w:r>
          </w:p>
          <w:p w:rsidR="00FE263D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E263D" w:rsidTr="00FE2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E263D" w:rsidRDefault="00FE263D" w:rsidP="003249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FE263D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E263D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E263D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Шірінян, А.С. </w:t>
            </w:r>
            <w:r>
              <w:rPr>
                <w:rFonts w:ascii="Times New Roman" w:hAnsi="Times New Roman" w:cs="Times New Roman"/>
              </w:rPr>
              <w:t>Конкурентоспроможність ринку банківських послуг України: фактор масштабу / А. С. Шірінян, Л. В. Шірінян // Економіка України. – 2019. – № 3. – С. 35-51.</w:t>
            </w:r>
          </w:p>
          <w:p w:rsidR="00FE263D" w:rsidRPr="00BD2439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BD2439">
              <w:rPr>
                <w:rFonts w:ascii="Times New Roman" w:hAnsi="Times New Roman" w:cs="Times New Roman"/>
              </w:rPr>
              <w:t xml:space="preserve">  </w:t>
            </w:r>
            <w:r w:rsidRPr="00BD2439">
              <w:rPr>
                <w:rFonts w:ascii="Times New Roman" w:hAnsi="Times New Roman" w:cs="Times New Roman"/>
                <w:i/>
              </w:rPr>
              <w:t>Потреба ефективного розвитку українського ринку банківських послуг в умовах експансії іноземного капіталу та міжнародних правил ведення бізнесу вимагає наявності конкурентних переваг національних постачальників банківських послуг. У цьому контексті та з позицій євроінтеграційних процесів в економіці України актуальною стає розробка сучасного інструментарію пруденційного нагляду з боку вповноважених органів.</w:t>
            </w:r>
          </w:p>
          <w:p w:rsidR="00FE263D" w:rsidRPr="00BD2439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BD2439">
              <w:rPr>
                <w:rFonts w:ascii="Times New Roman" w:hAnsi="Times New Roman" w:cs="Times New Roman"/>
                <w:i/>
              </w:rPr>
              <w:t>Уперше визначено та проаналізовано поняття конкурентоспроможності ринку банківських послуг з позицій оцінки і порівняння всіх показників ринку однієї країни із сукупністю показників відповідних ринків інших країн світу.</w:t>
            </w:r>
          </w:p>
          <w:p w:rsidR="00FE263D" w:rsidRPr="00BD2439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BD2439">
              <w:rPr>
                <w:rFonts w:ascii="Times New Roman" w:hAnsi="Times New Roman" w:cs="Times New Roman"/>
                <w:i/>
              </w:rPr>
              <w:t>Розроблено нову уніфіковану методику комплексної оцінки конкурентоспроможності ринку банківських послуг, що базується на системі кількісних оцінок і критеріїв. Представлене дослідження охоплює такі пункти аналізу ринку: територіальні межі, місткість і масштаби; щільність і компактність банків та філій; відкритість ринку; місткість і важливість послуг; щільність доходів і послуг на ринку; бар’єри входження на ринок та виходу з нього; межі капіталізації банків; рівень розвитку інноваційних послуг.</w:t>
            </w:r>
          </w:p>
          <w:p w:rsidR="00FE263D" w:rsidRPr="00BD2439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BD2439">
              <w:rPr>
                <w:rFonts w:ascii="Times New Roman" w:hAnsi="Times New Roman" w:cs="Times New Roman"/>
                <w:i/>
              </w:rPr>
              <w:t>Апробовано підхід у частині аналізу фактора масштабу ринку банківських послуг України для 2007–2017 рр. Здійснено співставлення кількісних показників українського ринку банківських послуг з відповідними показниками для ринків порівнянних країн єврозони та світу і визначено місце українського ринку банківських послуг на міжнародному рівні. Таке порівняння реалізовано в розрізі ринків країн з розвинутою і перехідною економіками.</w:t>
            </w:r>
          </w:p>
          <w:p w:rsidR="00FE263D" w:rsidRPr="00BD2439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BD2439">
              <w:rPr>
                <w:rFonts w:ascii="Times New Roman" w:hAnsi="Times New Roman" w:cs="Times New Roman"/>
                <w:i/>
              </w:rPr>
              <w:t>З’ясовано, що на світовому рівні та в межах єврозони ринок банківських послуг України відповідає малому масштабу; існують неоднорідність і диспропорційність послуг усередині країни; вплив резидентів та іноземних власників банків є приблизно рівним; ринок має високі бар’єри входження і перебуває на стадії початку цифрової революції. Аргументовано, що банкрутство найбільшого банку буде відчутним для українського банківського сектору, але не руйнівним для фінансової системи України.</w:t>
            </w:r>
          </w:p>
          <w:p w:rsidR="00FE263D" w:rsidRDefault="00FE263D" w:rsidP="0032492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bookmarkEnd w:id="2"/>
    </w:tbl>
    <w:p w:rsidR="00787CB2" w:rsidRDefault="00787CB2">
      <w:pPr>
        <w:rPr>
          <w:sz w:val="2"/>
          <w:szCs w:val="2"/>
        </w:rPr>
      </w:pPr>
    </w:p>
    <w:sectPr w:rsidR="00787CB2">
      <w:pgSz w:w="9091" w:h="1439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FD" w:rsidRDefault="004601FD">
      <w:r>
        <w:separator/>
      </w:r>
    </w:p>
  </w:endnote>
  <w:endnote w:type="continuationSeparator" w:id="0">
    <w:p w:rsidR="004601FD" w:rsidRDefault="0046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FD" w:rsidRDefault="004601FD"/>
  </w:footnote>
  <w:footnote w:type="continuationSeparator" w:id="0">
    <w:p w:rsidR="004601FD" w:rsidRDefault="004601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B2"/>
    <w:rsid w:val="000F712B"/>
    <w:rsid w:val="004601FD"/>
    <w:rsid w:val="00787CB2"/>
    <w:rsid w:val="00E3522C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B9DE1-55A6-4CB3-8A38-25113795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Arial75pt">
    <w:name w:val="Основной текст (3) + Arial;7;5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2">
    <w:name w:val="Заголовок №1 (2)_"/>
    <w:basedOn w:val="a0"/>
    <w:link w:val="1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w w:val="70"/>
      <w:sz w:val="106"/>
      <w:szCs w:val="106"/>
      <w:u w:val="none"/>
    </w:rPr>
  </w:style>
  <w:style w:type="character" w:customStyle="1" w:styleId="121">
    <w:name w:val="Основной текст (12)_"/>
    <w:basedOn w:val="a0"/>
    <w:link w:val="12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0"/>
      <w:sz w:val="30"/>
      <w:szCs w:val="30"/>
      <w:u w:val="none"/>
    </w:rPr>
  </w:style>
  <w:style w:type="character" w:customStyle="1" w:styleId="12Arial0pt">
    <w:name w:val="Основной текст (12) + Arial;Полужирный;Интервал 0 pt"/>
    <w:basedOn w:val="1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2pt">
    <w:name w:val="Основной текст (10) + Интервал 2 pt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">
    <w:name w:val="Оглавление 1 Знак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5pt">
    <w:name w:val="Оглавление + 10;5 pt;Полужирный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2">
    <w:name w:val="Оглавление (2)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главление (2) + 9;5 pt;Не 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1">
    <w:name w:val="Оглавление (3)_"/>
    <w:basedOn w:val="a0"/>
    <w:link w:val="3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8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020" w:line="0" w:lineRule="atLeast"/>
      <w:outlineLvl w:val="0"/>
    </w:pPr>
    <w:rPr>
      <w:rFonts w:ascii="Constantia" w:eastAsia="Constantia" w:hAnsi="Constantia" w:cs="Constantia"/>
      <w:w w:val="70"/>
      <w:sz w:val="106"/>
      <w:szCs w:val="106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after="240" w:line="0" w:lineRule="atLeast"/>
    </w:pPr>
    <w:rPr>
      <w:rFonts w:ascii="Franklin Gothic Heavy" w:eastAsia="Franklin Gothic Heavy" w:hAnsi="Franklin Gothic Heavy" w:cs="Franklin Gothic Heavy"/>
      <w:i/>
      <w:iCs/>
      <w:spacing w:val="2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ind w:hanging="440"/>
      <w:jc w:val="center"/>
    </w:pPr>
    <w:rPr>
      <w:rFonts w:ascii="Arial" w:eastAsia="Arial" w:hAnsi="Arial" w:cs="Arial"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0" w:line="0" w:lineRule="atLeast"/>
      <w:jc w:val="right"/>
    </w:pPr>
    <w:rPr>
      <w:rFonts w:ascii="Arial" w:eastAsia="Arial" w:hAnsi="Arial" w:cs="Arial"/>
      <w:b/>
      <w:bCs/>
      <w:sz w:val="21"/>
      <w:szCs w:val="21"/>
    </w:rPr>
  </w:style>
  <w:style w:type="paragraph" w:styleId="11">
    <w:name w:val="toc 1"/>
    <w:basedOn w:val="a"/>
    <w:link w:val="1"/>
    <w:autoRedefine/>
    <w:pPr>
      <w:shd w:val="clear" w:color="auto" w:fill="FFFFFF"/>
      <w:spacing w:before="180" w:line="33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before="60" w:after="24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before="240" w:after="180" w:line="0" w:lineRule="atLeast"/>
    </w:pPr>
    <w:rPr>
      <w:rFonts w:ascii="AngsanaUPC" w:eastAsia="AngsanaUPC" w:hAnsi="AngsanaUPC" w:cs="AngsanaUPC"/>
      <w:sz w:val="11"/>
      <w:szCs w:val="11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2019-10-22T12:28:00Z</dcterms:created>
  <dcterms:modified xsi:type="dcterms:W3CDTF">2019-10-22T12:28:00Z</dcterms:modified>
</cp:coreProperties>
</file>