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06" w:rsidRDefault="00D0769C">
      <w:pPr>
        <w:pStyle w:val="40"/>
        <w:framePr w:w="9734" w:h="283" w:hRule="exact" w:wrap="none" w:vAnchor="page" w:hAnchor="page" w:x="722" w:y="951"/>
        <w:shd w:val="clear" w:color="auto" w:fill="auto"/>
        <w:spacing w:after="0" w:line="220" w:lineRule="exact"/>
        <w:ind w:left="40"/>
      </w:pPr>
      <w:bookmarkStart w:id="0" w:name="bookmark0"/>
      <w:r>
        <w:t>ЗМІСТ</w:t>
      </w:r>
      <w:bookmarkEnd w:id="0"/>
    </w:p>
    <w:p w:rsidR="00CD5706" w:rsidRDefault="00D0769C">
      <w:pPr>
        <w:pStyle w:val="20"/>
        <w:framePr w:w="9734" w:h="10670" w:hRule="exact" w:wrap="none" w:vAnchor="page" w:hAnchor="page" w:x="722" w:y="2014"/>
        <w:shd w:val="clear" w:color="auto" w:fill="auto"/>
        <w:spacing w:before="0"/>
        <w:ind w:left="40"/>
      </w:pPr>
      <w:r>
        <w:rPr>
          <w:rStyle w:val="21"/>
        </w:rPr>
        <w:t xml:space="preserve">Т.Є. </w:t>
      </w:r>
      <w:r>
        <w:rPr>
          <w:rStyle w:val="21"/>
          <w:lang w:val="ru-RU" w:eastAsia="ru-RU" w:bidi="ru-RU"/>
        </w:rPr>
        <w:t xml:space="preserve">ТЕРЕЩЕНКО, </w:t>
      </w:r>
      <w:r>
        <w:rPr>
          <w:rStyle w:val="21"/>
        </w:rPr>
        <w:t>М.Т. СУК.</w:t>
      </w:r>
      <w:r>
        <w:t xml:space="preserve"> Проблеми формування фінансового потенціалу розвитку страхових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left" w:leader="dot" w:pos="8916"/>
        </w:tabs>
      </w:pPr>
      <w:r>
        <w:t>компаній</w:t>
      </w:r>
      <w:r>
        <w:tab/>
        <w:t xml:space="preserve"> 4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ind w:left="40"/>
        <w:jc w:val="center"/>
      </w:pPr>
      <w:r>
        <w:rPr>
          <w:rStyle w:val="a6"/>
        </w:rPr>
        <w:t xml:space="preserve">С.А. </w:t>
      </w:r>
      <w:r>
        <w:rPr>
          <w:rStyle w:val="a6"/>
          <w:lang w:val="ru-RU" w:eastAsia="ru-RU" w:bidi="ru-RU"/>
        </w:rPr>
        <w:t xml:space="preserve">ТКАЧЕНКО, </w:t>
      </w:r>
      <w:r>
        <w:rPr>
          <w:rStyle w:val="a6"/>
        </w:rPr>
        <w:t>О.М. ПОТИШНЯК.</w:t>
      </w:r>
      <w:r>
        <w:t xml:space="preserve"> Інтрузія рахунку-екрану за проміжним результуючим</w:t>
      </w:r>
      <w:r>
        <w:br/>
        <w:t xml:space="preserve">комерційно-виробничим показником «маркетингові витрати» у місію </w:t>
      </w:r>
      <w:r>
        <w:t>обліково-економічного забезпечення 8</w:t>
      </w:r>
      <w:r>
        <w:br/>
      </w:r>
      <w:r>
        <w:rPr>
          <w:rStyle w:val="a6"/>
        </w:rPr>
        <w:t xml:space="preserve">С.Л. </w:t>
      </w:r>
      <w:r>
        <w:rPr>
          <w:rStyle w:val="a6"/>
          <w:lang w:val="ru-RU" w:eastAsia="ru-RU" w:bidi="ru-RU"/>
        </w:rPr>
        <w:t>ЯКОВЕНКО.</w:t>
      </w:r>
      <w:r>
        <w:rPr>
          <w:lang w:val="ru-RU" w:eastAsia="ru-RU" w:bidi="ru-RU"/>
        </w:rPr>
        <w:t xml:space="preserve"> </w:t>
      </w:r>
      <w:r>
        <w:t>Облік та аналіз ефективного використання виробничих запасів на підприємстві в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right" w:leader="dot" w:pos="9403"/>
        </w:tabs>
      </w:pPr>
      <w:r>
        <w:t>сучасних умовах</w:t>
      </w:r>
      <w:r>
        <w:tab/>
        <w:t xml:space="preserve"> 11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left" w:pos="9247"/>
        </w:tabs>
        <w:ind w:left="300"/>
      </w:pPr>
      <w:r>
        <w:rPr>
          <w:rStyle w:val="a6"/>
        </w:rPr>
        <w:t xml:space="preserve">А.І. </w:t>
      </w:r>
      <w:r>
        <w:rPr>
          <w:rStyle w:val="a6"/>
          <w:lang w:val="ru-RU" w:eastAsia="ru-RU" w:bidi="ru-RU"/>
        </w:rPr>
        <w:t>ЯКОВЛЕВ.</w:t>
      </w:r>
      <w:r>
        <w:rPr>
          <w:lang w:val="ru-RU" w:eastAsia="ru-RU" w:bidi="ru-RU"/>
        </w:rPr>
        <w:t xml:space="preserve"> </w:t>
      </w:r>
      <w:r>
        <w:t>Економічна оцінка втрат людського капіталу від участі у військових діях на Донбасі ....</w:t>
      </w:r>
      <w:r>
        <w:tab/>
        <w:t>15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ind w:left="40"/>
        <w:jc w:val="center"/>
      </w:pPr>
      <w:r>
        <w:rPr>
          <w:rStyle w:val="a6"/>
        </w:rPr>
        <w:t>М</w:t>
      </w:r>
      <w:r>
        <w:rPr>
          <w:rStyle w:val="a6"/>
        </w:rPr>
        <w:t>.О. АНАНСЬКА, І.В. МОСТОВА.</w:t>
      </w:r>
      <w:r>
        <w:t xml:space="preserve"> Удосконалення інформаційно-аналітичного та документального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right" w:leader="dot" w:pos="9403"/>
        </w:tabs>
      </w:pPr>
      <w:r>
        <w:t>забезпечення обліку операцій з давальницькою сировиною</w:t>
      </w:r>
      <w:r>
        <w:tab/>
        <w:t xml:space="preserve"> 20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ind w:left="40"/>
        <w:jc w:val="center"/>
      </w:pPr>
      <w:r>
        <w:rPr>
          <w:rStyle w:val="a6"/>
        </w:rPr>
        <w:t>Н.В. ШВЕЦЬ, В.А. АЛІПОВА.</w:t>
      </w:r>
      <w:r>
        <w:t xml:space="preserve"> Будівельна галузь України: аналіз динаміки та визначення напрямів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right" w:leader="dot" w:pos="9403"/>
        </w:tabs>
      </w:pPr>
      <w:r>
        <w:t>розвитку</w:t>
      </w:r>
      <w:r>
        <w:tab/>
        <w:t xml:space="preserve"> 27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right" w:leader="dot" w:pos="9403"/>
        </w:tabs>
        <w:ind w:left="300"/>
      </w:pPr>
      <w:r>
        <w:rPr>
          <w:rStyle w:val="a6"/>
        </w:rPr>
        <w:t xml:space="preserve">О.І. </w:t>
      </w:r>
      <w:r>
        <w:rPr>
          <w:rStyle w:val="a6"/>
        </w:rPr>
        <w:t>ТАБЕНСЬКА.</w:t>
      </w:r>
      <w:r>
        <w:t xml:space="preserve"> Інноваційні тенденції розвитку ресторанного бізнесу</w:t>
      </w:r>
      <w:r>
        <w:tab/>
        <w:t xml:space="preserve"> 31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right" w:leader="dot" w:pos="9403"/>
        </w:tabs>
        <w:spacing w:after="535"/>
        <w:ind w:firstLine="300"/>
        <w:jc w:val="left"/>
      </w:pPr>
      <w:r>
        <w:rPr>
          <w:rStyle w:val="a6"/>
        </w:rPr>
        <w:t>О.В. КОСТЮНІК, Т.С. ЧАЙКОВСЬКА.</w:t>
      </w:r>
      <w:r>
        <w:t xml:space="preserve"> Особливості та відмінності обліку основних засобів за національними та міжнародними стандартами бухгалтерського обліку</w:t>
      </w:r>
      <w:r>
        <w:tab/>
        <w:t xml:space="preserve"> 35</w:t>
      </w:r>
    </w:p>
    <w:p w:rsidR="00CD5706" w:rsidRDefault="00D0769C">
      <w:pPr>
        <w:pStyle w:val="23"/>
        <w:framePr w:w="9734" w:h="10670" w:hRule="exact" w:wrap="none" w:vAnchor="page" w:hAnchor="page" w:x="722" w:y="2014"/>
        <w:shd w:val="clear" w:color="auto" w:fill="auto"/>
        <w:spacing w:before="0" w:after="254" w:line="190" w:lineRule="exact"/>
        <w:ind w:left="160"/>
      </w:pPr>
      <w:r>
        <w:t>ТЕЗИ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left" w:pos="9247"/>
        </w:tabs>
        <w:ind w:left="300"/>
      </w:pPr>
      <w:r>
        <w:rPr>
          <w:rStyle w:val="a6"/>
        </w:rPr>
        <w:t>О.А. ШАПАРЕНКО.</w:t>
      </w:r>
      <w:r>
        <w:t xml:space="preserve"> Роль та місце</w:t>
      </w:r>
      <w:r>
        <w:t xml:space="preserve"> комітетів у здійсненні законодавчої функції Верховної Ради України</w:t>
      </w:r>
      <w:r>
        <w:tab/>
        <w:t>38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right" w:leader="dot" w:pos="9403"/>
        </w:tabs>
        <w:spacing w:after="535"/>
        <w:ind w:firstLine="300"/>
        <w:jc w:val="left"/>
      </w:pPr>
      <w:r>
        <w:rPr>
          <w:rStyle w:val="a6"/>
        </w:rPr>
        <w:t>О.А. ШАПАРЕНКО.</w:t>
      </w:r>
      <w:r>
        <w:t xml:space="preserve"> Тимчасові слідчі комісії Верховної Ради України: забезпечення парламентського контролю</w:t>
      </w:r>
      <w:r>
        <w:tab/>
        <w:t xml:space="preserve"> 40</w:t>
      </w:r>
    </w:p>
    <w:p w:rsidR="00CD5706" w:rsidRDefault="00D0769C">
      <w:pPr>
        <w:pStyle w:val="23"/>
        <w:framePr w:w="9734" w:h="10670" w:hRule="exact" w:wrap="none" w:vAnchor="page" w:hAnchor="page" w:x="722" w:y="2014"/>
        <w:shd w:val="clear" w:color="auto" w:fill="auto"/>
        <w:spacing w:before="0" w:after="259" w:line="190" w:lineRule="exact"/>
        <w:ind w:left="160"/>
      </w:pPr>
      <w:r>
        <w:t>АНОТАЦІЇ</w:t>
      </w:r>
      <w:r>
        <w:rPr>
          <w:rStyle w:val="24"/>
        </w:rPr>
        <w:t xml:space="preserve">; </w:t>
      </w:r>
      <w:r>
        <w:t>КОМЕНТАРІ, КОНСУЛЬТАЦІЇ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left" w:leader="dot" w:pos="8916"/>
        </w:tabs>
        <w:ind w:left="300"/>
      </w:pPr>
      <w:r>
        <w:t>Чи має право підприємство відраховувати алім</w:t>
      </w:r>
      <w:r>
        <w:t>енти із зарплати у сумі, меншій за мінімальну?</w:t>
      </w:r>
      <w:r>
        <w:tab/>
        <w:t xml:space="preserve"> 42</w:t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left" w:pos="9631"/>
        </w:tabs>
        <w:ind w:left="300"/>
      </w:pPr>
      <w:r>
        <w:rPr>
          <w:rStyle w:val="a6"/>
        </w:rPr>
        <w:t>А.О. ТУМАНЯН.</w:t>
      </w:r>
      <w:r>
        <w:t xml:space="preserve"> Мінімальна заробітна плата за час відрядження </w:t>
      </w:r>
      <w:r w:rsidR="007652A2">
        <w:t>- середньоденна чи денна? яким</w:t>
      </w:r>
      <w:r w:rsidR="007652A2">
        <w:tab/>
      </w:r>
    </w:p>
    <w:p w:rsidR="00CD5706" w:rsidRDefault="00D0769C">
      <w:pPr>
        <w:pStyle w:val="a5"/>
        <w:framePr w:w="9734" w:h="10670" w:hRule="exact" w:wrap="none" w:vAnchor="page" w:hAnchor="page" w:x="722" w:y="2014"/>
        <w:shd w:val="clear" w:color="auto" w:fill="auto"/>
        <w:tabs>
          <w:tab w:val="right" w:leader="dot" w:pos="9403"/>
        </w:tabs>
        <w:spacing w:after="319"/>
      </w:pPr>
      <w:r>
        <w:t>чином до розрахунку включаються премії?</w:t>
      </w:r>
      <w:r>
        <w:tab/>
        <w:t xml:space="preserve"> 42</w:t>
      </w:r>
    </w:p>
    <w:p w:rsidR="00CD5706" w:rsidRDefault="00CD5706">
      <w:pPr>
        <w:pStyle w:val="30"/>
        <w:framePr w:w="9734" w:h="10670" w:hRule="exact" w:wrap="none" w:vAnchor="page" w:hAnchor="page" w:x="722" w:y="2014"/>
        <w:shd w:val="clear" w:color="auto" w:fill="auto"/>
        <w:spacing w:before="0" w:line="460" w:lineRule="exact"/>
        <w:ind w:left="780"/>
      </w:pPr>
    </w:p>
    <w:p w:rsidR="00CD5706" w:rsidRDefault="00D0769C" w:rsidP="007652A2">
      <w:pPr>
        <w:pStyle w:val="42"/>
        <w:framePr w:w="9734" w:h="10670" w:hRule="exact" w:wrap="none" w:vAnchor="page" w:hAnchor="page" w:x="722" w:y="2014"/>
        <w:shd w:val="clear" w:color="auto" w:fill="auto"/>
        <w:tabs>
          <w:tab w:val="left" w:pos="8640"/>
        </w:tabs>
        <w:spacing w:line="1120" w:lineRule="exact"/>
      </w:pPr>
      <w:bookmarkStart w:id="1" w:name="bookmark2"/>
      <w:r>
        <w:tab/>
      </w:r>
      <w:bookmarkEnd w:id="1"/>
    </w:p>
    <w:p w:rsidR="007652A2" w:rsidRDefault="007652A2">
      <w:pPr>
        <w:rPr>
          <w:sz w:val="2"/>
          <w:szCs w:val="2"/>
        </w:rPr>
        <w:sectPr w:rsidR="007652A2">
          <w:pgSz w:w="11117" w:h="13366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072"/>
      </w:tblGrid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Ананська, М.О.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Удосконалення інформаційно-аналітичного та документального забезпечення обліку операцій з давальницькою сировиною / М. О. Ананська, І. В. Мостова // Економіка. Фінанси. Право. – 2019. – № 1. – С.20-26.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7652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данній статті праналізовано та виявлено недоліки здійснення операцій з давальницькою сировиною.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Костюнік, О.В.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Особливості та відмінності обліку основних засобів за національними та міжнародними стандартами бухгалтерського обліку / О. В. Костюнік, Т. С. Чайковська // Економіка. Фінанси. Право. – 2019. – № 1. – С.35-37.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процесі господарської діяльності основні засоби підприємства посідають чільне місце, адже мають безпосередній та значний вплив на ефективність діялності та фінансові результати суб"єктів господарювання.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Табенська, О.І.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Інноваційні тенденції розвитку ресторанного бізнесу / О. І. Табенська // Економіка. Фінанси. Право. – 2019. – № 1. – С.31-34.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досліджено сучасні глобальні проблеми людства, значний попит на природні ресурси, нові умови утилізації відходів, інноваційні тенденції розвитку ресторанного бізнесу, діяльність екоресторанів.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Терещенко, Т.Є.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Проблеми формування фінансового потенціалу розвитку страхових компаній / Т. Є. Терещенко, М. Т. Сук // Економіка. Фінанси. Право. – 2019. – № 1. – С.4-8.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7652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розглянуто загальний стан страхового ринку України з точки зору визначення наявності передумов формування фінансового потенціалу розвитку.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Ткаченко, С.А.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Інтрузія рахунку-екрану за проміжним результуючим комерційно-виробничим показником " маркетингові витрати" у місію обліково-економічного забезпечення / С. А. Ткаченко, О. М. Потишняк // Економіка. Фінанси. Право. – 2019. – № 1. – С.8-10.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У статті аргументовано, наведена пропозиція відносно формування і впровадження у сучасній методологічно-інформаційний інструментарій бухгалтерського обліку рахунку-екрану.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Шапаренко, О.А.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Роль і місце комітетів у здійсненні законодавчої функції Верховної ради України / О. А. Шапаренко // Економіка. Фінанси. Право. – 2019. – № 1. – С.38-39.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7652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Роль і місце комітетів у здійсненні законодавчої функції Верховної ради України.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Шапаренко, О.А.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Тимчасові слідчі комісії Верховної ради України : забезпечення парламентського контролю / О. А. Шапаренко // Економіка. Фінанси. Право. – 2019. – № 1. – С.40-41.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Тимчасові слідчі комісії Верховної ради України : забезпечення парламентського контролю.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Швець, Н.В.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Будівельна галузь України : аналіз динаміки та визначення напрямів розвитку / Н. В. Швець, В. А. Аліпова // Економіка. Фінанси. Право. – 2019. – № 1. – С.27-30.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Досліджено тенденції розвитку будівельної галузі в період 201-2017 рр.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Яковенко, С.Л.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Облік та аналіз ефективного використання виробничих запасів на підприємстві в сучасних умовах / С. Л. Яковенко // Економіка. Фінанси. Право. – 2019. – № 1. – С.11-14.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У статті розглянуто важливість оптимальної кількості запасів для підприємства, сучасний стан обліку господарських операцій, пов"язаних з організацією та здійсненням обліку виробних запасів на підприємствах.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7652A2" w:rsidRPr="007652A2" w:rsidTr="00EB3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Яковлєв, А.І. 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Економічна оцінка втрат людського капіталу від участі у військових діях на Донбасі / А. І. Яковлєв // Економіка. Фінанси. Право. – 2019. – № 1. – С.15-19.</w:t>
            </w:r>
          </w:p>
          <w:p w:rsidR="007652A2" w:rsidRPr="007652A2" w:rsidRDefault="007652A2" w:rsidP="007652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7652A2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Визначено, що в результаті участі в ООС частина працездатного населення України не задіяна безпосередньо у створенні матеріальних благ</w:t>
            </w:r>
            <w:r w:rsidRPr="007652A2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</w:tc>
      </w:tr>
    </w:tbl>
    <w:p w:rsidR="00CD5706" w:rsidRDefault="00CD5706">
      <w:pPr>
        <w:rPr>
          <w:sz w:val="2"/>
          <w:szCs w:val="2"/>
        </w:rPr>
      </w:pPr>
      <w:bookmarkStart w:id="2" w:name="_GoBack"/>
      <w:bookmarkEnd w:id="2"/>
    </w:p>
    <w:sectPr w:rsidR="00CD5706">
      <w:pgSz w:w="11117" w:h="1336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9C" w:rsidRDefault="00D0769C">
      <w:r>
        <w:separator/>
      </w:r>
    </w:p>
  </w:endnote>
  <w:endnote w:type="continuationSeparator" w:id="0">
    <w:p w:rsidR="00D0769C" w:rsidRDefault="00D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9C" w:rsidRDefault="00D0769C"/>
  </w:footnote>
  <w:footnote w:type="continuationSeparator" w:id="0">
    <w:p w:rsidR="00D0769C" w:rsidRDefault="00D076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06"/>
    <w:rsid w:val="007652A2"/>
    <w:rsid w:val="00926120"/>
    <w:rsid w:val="00CD5706"/>
    <w:rsid w:val="00D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0C7B-0228-4561-94AA-0941CA2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4">
    <w:name w:val="Оглавление (2) + 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">
    <w:name w:val="Оглавление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400"/>
      <w:sz w:val="46"/>
      <w:szCs w:val="46"/>
      <w:u w:val="none"/>
    </w:rPr>
  </w:style>
  <w:style w:type="character" w:customStyle="1" w:styleId="3TimesNewRoman15pt0pt">
    <w:name w:val="Оглавление (3) + Times New Roman;15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31">
    <w:name w:val="Оглавление (3)"/>
    <w:basedOn w:val="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00"/>
      <w:w w:val="100"/>
      <w:position w:val="0"/>
      <w:sz w:val="46"/>
      <w:szCs w:val="46"/>
      <w:u w:val="single"/>
      <w:lang w:val="uk-UA" w:eastAsia="uk-UA" w:bidi="uk-UA"/>
    </w:rPr>
  </w:style>
  <w:style w:type="character" w:customStyle="1" w:styleId="41">
    <w:name w:val="Оглавлени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2"/>
      <w:szCs w:val="112"/>
      <w:u w:val="none"/>
    </w:rPr>
  </w:style>
  <w:style w:type="character" w:customStyle="1" w:styleId="43">
    <w:name w:val="Оглавлени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uk-UA" w:eastAsia="uk-UA" w:bidi="uk-UA"/>
    </w:rPr>
  </w:style>
  <w:style w:type="character" w:customStyle="1" w:styleId="447pt-1pt">
    <w:name w:val="Оглавление (4) + 47 pt;Курсив;Интервал -1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94"/>
      <w:szCs w:val="94"/>
      <w:u w:val="none"/>
      <w:lang w:val="uk-UA" w:eastAsia="uk-UA" w:bidi="uk-UA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9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3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420" w:line="0" w:lineRule="atLeast"/>
    </w:pPr>
    <w:rPr>
      <w:rFonts w:ascii="Courier New" w:eastAsia="Courier New" w:hAnsi="Courier New" w:cs="Courier New"/>
      <w:spacing w:val="400"/>
      <w:sz w:val="46"/>
      <w:szCs w:val="46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2"/>
      <w:szCs w:val="11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2019-09-19T07:38:00Z</dcterms:created>
  <dcterms:modified xsi:type="dcterms:W3CDTF">2019-09-19T07:38:00Z</dcterms:modified>
</cp:coreProperties>
</file>